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A841D">
      <w:pPr>
        <w:pStyle w:val="80"/>
        <w:jc w:val="both"/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3GPP TSG RAN WG1 #1</w:t>
      </w:r>
      <w:r>
        <w:rPr>
          <w:rFonts w:hint="eastAsia" w:ascii="Times New Roman" w:hAnsi="Times New Roman" w:cs="Times New Roman"/>
          <w:b/>
          <w:bCs/>
          <w:sz w:val="22"/>
          <w:szCs w:val="22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</w:t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 R1-2</w:t>
      </w:r>
      <w:r>
        <w:rPr>
          <w:rFonts w:hint="eastAsia" w:ascii="Times New Roman" w:hAnsi="Times New Roman" w:cs="Times New Roman"/>
          <w:b/>
          <w:bCs/>
          <w:sz w:val="22"/>
          <w:szCs w:val="22"/>
          <w:lang w:val="en-US" w:eastAsia="zh-CN"/>
        </w:rPr>
        <w:t>500985</w:t>
      </w:r>
    </w:p>
    <w:p w14:paraId="23A182E0">
      <w:pPr>
        <w:tabs>
          <w:tab w:val="center" w:pos="4536"/>
          <w:tab w:val="right" w:pos="9072"/>
        </w:tabs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</w:pPr>
      <w:bookmarkStart w:id="0" w:name="OLE_LINK34"/>
      <w:bookmarkStart w:id="1" w:name="OLE_LINK33"/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 xml:space="preserve">Athens, Greece, </w:t>
      </w:r>
      <w:r>
        <w:rPr>
          <w:rFonts w:hint="default" w:ascii="Times New Roman" w:hAnsi="Times New Roman" w:eastAsia="Malgun Gothic" w:cs="Times New Roman"/>
          <w:b/>
          <w:bCs/>
          <w:sz w:val="22"/>
          <w:szCs w:val="22"/>
          <w:lang w:eastAsia="ko-KR"/>
        </w:rPr>
        <w:t xml:space="preserve">February </w:t>
      </w:r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>17</w:t>
      </w:r>
      <w:r>
        <w:rPr>
          <w:rFonts w:hint="default" w:ascii="Times New Roman" w:hAnsi="Times New Roman" w:eastAsia="Malgun Gothic" w:cs="Times New Roman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– 21</w:t>
      </w:r>
      <w:r>
        <w:rPr>
          <w:rFonts w:hint="default" w:ascii="Times New Roman" w:hAnsi="Times New Roman" w:cs="Times New Roman"/>
          <w:b/>
          <w:bCs/>
          <w:sz w:val="22"/>
          <w:szCs w:val="22"/>
          <w:vertAlign w:val="superscript"/>
        </w:rPr>
        <w:t>st</w:t>
      </w:r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>, 2025</w:t>
      </w:r>
    </w:p>
    <w:p w14:paraId="1CBB5EF5">
      <w:pPr>
        <w:tabs>
          <w:tab w:val="right" w:pos="9360"/>
        </w:tabs>
        <w:spacing w:after="0"/>
        <w:jc w:val="both"/>
        <w:rPr>
          <w:rFonts w:hint="default" w:ascii="Times New Roman" w:hAnsi="Times New Roman" w:eastAsia="MS Mincho" w:cs="Times New Roman"/>
          <w:b/>
          <w:sz w:val="22"/>
          <w:szCs w:val="22"/>
        </w:rPr>
      </w:pPr>
    </w:p>
    <w:p w14:paraId="1509908A">
      <w:pPr>
        <w:pStyle w:val="49"/>
        <w:tabs>
          <w:tab w:val="clear" w:pos="4536"/>
        </w:tabs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Source:               TCL</w:t>
      </w:r>
    </w:p>
    <w:p w14:paraId="2AFABC53">
      <w:pPr>
        <w:pStyle w:val="49"/>
        <w:tabs>
          <w:tab w:val="clear" w:pos="4536"/>
        </w:tabs>
        <w:jc w:val="both"/>
        <w:rPr>
          <w:rFonts w:hint="default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Title:                  </w:t>
      </w:r>
      <w:bookmarkStart w:id="2" w:name="OLE_LINK19"/>
      <w:r>
        <w:rPr>
          <w:rFonts w:hint="default" w:ascii="Times New Roman" w:hAnsi="Times New Roman" w:cs="Times New Roman"/>
          <w:sz w:val="22"/>
          <w:szCs w:val="22"/>
        </w:rPr>
        <w:t xml:space="preserve">  </w:t>
      </w:r>
      <w:bookmarkEnd w:id="2"/>
      <w:r>
        <w:rPr>
          <w:rFonts w:hint="default" w:ascii="Times New Roman" w:hAnsi="Times New Roman" w:cs="Times New Roman"/>
          <w:sz w:val="22"/>
          <w:szCs w:val="22"/>
        </w:rPr>
        <w:t xml:space="preserve">Discussion on 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Multi-cell PUSCH/PDSCH scheduling with a single DCI</w:t>
      </w:r>
    </w:p>
    <w:p w14:paraId="70178CD9">
      <w:pPr>
        <w:pStyle w:val="49"/>
        <w:tabs>
          <w:tab w:val="clear" w:pos="4536"/>
        </w:tabs>
        <w:jc w:val="both"/>
        <w:rPr>
          <w:rFonts w:hint="default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Agenda item:      9.1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2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1</w:t>
      </w:r>
    </w:p>
    <w:p w14:paraId="528352B9">
      <w:pPr>
        <w:pStyle w:val="49"/>
        <w:tabs>
          <w:tab w:val="clear" w:pos="4536"/>
        </w:tabs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Document for:    Discussion and Decision</w:t>
      </w:r>
      <w:bookmarkEnd w:id="0"/>
      <w:bookmarkEnd w:id="1"/>
    </w:p>
    <w:p w14:paraId="130960A5">
      <w:pPr>
        <w:pBdr>
          <w:bottom w:val="single" w:color="auto" w:sz="4" w:space="1"/>
        </w:pBdr>
        <w:tabs>
          <w:tab w:val="left" w:pos="2552"/>
        </w:tabs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69CD60D2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60" w:lineRule="auto"/>
        <w:jc w:val="both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Introduction</w:t>
      </w:r>
    </w:p>
    <w:p w14:paraId="0708520D">
      <w:pPr>
        <w:widowControl w:val="0"/>
        <w:spacing w:after="120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the </w:t>
      </w:r>
      <w:r>
        <w:rPr>
          <w:rFonts w:hint="default" w:ascii="Times New Roman" w:hAnsi="Times New Roman" w:cs="Times New Roman"/>
          <w:sz w:val="22"/>
          <w:szCs w:val="22"/>
        </w:rPr>
        <w:t xml:space="preserve">RAN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#10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6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meeting,</w:t>
      </w:r>
      <w:r>
        <w:rPr>
          <w:rFonts w:hint="default" w:ascii="Times New Roman" w:hAnsi="Times New Roman" w:eastAsia="宋体" w:cs="Times New Roman"/>
          <w:color w:val="00000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 w:eastAsia="zh-CN"/>
        </w:rPr>
        <w:t>n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en-US" w:eastAsia="zh-CN"/>
        </w:rPr>
        <w:t xml:space="preserve">revised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eastAsia="zh-CN"/>
        </w:rPr>
        <w:t>WID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on Rel-19 multi-cell PUSCH/PDSCH scheduling with a single DCI was approved [1], </w:t>
      </w:r>
      <w:r>
        <w:rPr>
          <w:rFonts w:hint="default" w:ascii="Times New Roman" w:hAnsi="Times New Roman" w:cs="Times New Roman"/>
          <w:sz w:val="22"/>
          <w:szCs w:val="22"/>
        </w:rPr>
        <w:t>the objectives of the WID are shown below:</w:t>
      </w:r>
    </w:p>
    <w:tbl>
      <w:tblPr>
        <w:tblStyle w:val="69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 w14:paraId="509C2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51" w:type="dxa"/>
          </w:tcPr>
          <w:p w14:paraId="65407691">
            <w:p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Specify the support of the following for multi-cell PUSCH/PDSCH scheduling with a single DCI [RAN1]</w:t>
            </w:r>
          </w:p>
          <w:p w14:paraId="75117B34">
            <w:pPr>
              <w:numPr>
                <w:ilvl w:val="0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bookmarkStart w:id="3" w:name="OLE_LINK7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 xml:space="preserve">Different SCS/carrier type among co-scheduled cells </w:t>
            </w:r>
            <w:bookmarkEnd w:id="3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by the single DCI.</w:t>
            </w:r>
          </w:p>
          <w:p w14:paraId="3AB074A0">
            <w:pPr>
              <w:numPr>
                <w:ilvl w:val="0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 xml:space="preserve">One or </w:t>
            </w:r>
            <w:bookmarkStart w:id="4" w:name="OLE_LINK1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multiple PUSCHs</w:t>
            </w:r>
            <w:bookmarkEnd w:id="4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/PDSCHs per scheduled cell by the single DCI.</w:t>
            </w:r>
          </w:p>
          <w:p w14:paraId="1E76E5FC">
            <w:pPr>
              <w:numPr>
                <w:ilvl w:val="1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The maximum number of PUSCHs/PDSCHs per scheduled cell is [4 or 8].</w:t>
            </w:r>
          </w:p>
          <w:p w14:paraId="5261AF71">
            <w:pPr>
              <w:numPr>
                <w:ilvl w:val="1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Type-1 HARQ-ACK codebook is not enhanced for Rel-19 multi-cell scheduling.</w:t>
            </w:r>
          </w:p>
          <w:p w14:paraId="0894530D">
            <w:pPr>
              <w:numPr>
                <w:ilvl w:val="1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The maximum number of sub-codebooks for Type-2 HARQ-ACK codebook is not increased for Rel-19 multi-cell scheduling.</w:t>
            </w:r>
          </w:p>
          <w:p w14:paraId="3D42DAC3">
            <w:pPr>
              <w:numPr>
                <w:ilvl w:val="1"/>
                <w:numId w:val="17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48CF37CA">
            <w:pPr>
              <w:numPr>
                <w:ilvl w:val="0"/>
                <w:numId w:val="17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No new DCI format is introduced.</w:t>
            </w:r>
          </w:p>
        </w:tc>
      </w:tr>
    </w:tbl>
    <w:p w14:paraId="353CD3F9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hint="default" w:ascii="Times New Roman" w:hAnsi="Times New Roman" w:eastAsia="等线" w:cs="Times New Roman"/>
          <w:i/>
          <w:iCs/>
          <w:sz w:val="22"/>
          <w:szCs w:val="22"/>
          <w:lang w:val="en-GB"/>
        </w:rPr>
      </w:pPr>
      <w:bookmarkStart w:id="5" w:name="OLE_LINK8"/>
      <w:r>
        <w:rPr>
          <w:rFonts w:hint="default" w:ascii="Times New Roman" w:hAnsi="Times New Roman" w:cs="Times New Roman"/>
          <w:sz w:val="22"/>
          <w:szCs w:val="22"/>
          <w:lang w:eastAsia="zh-CN"/>
        </w:rPr>
        <w:t>In RAN1 #11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9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meeting, the following agreements have been achieved [2], as shown below:</w:t>
      </w:r>
    </w:p>
    <w:p w14:paraId="799CC6CE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6DAC1500">
      <w:pPr>
        <w:numPr>
          <w:ilvl w:val="0"/>
          <w:numId w:val="18"/>
        </w:numPr>
        <w:snapToGrid w:val="0"/>
        <w:rPr>
          <w:rFonts w:hint="default" w:ascii="Times New Roman" w:hAnsi="Times New Roman" w:eastAsia="等线" w:cs="Times New Roman"/>
          <w:sz w:val="22"/>
          <w:szCs w:val="22"/>
          <w:lang w:val="en-GB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Time-domain HARQ-ACK bundling is configured per cell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as Rel-17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.  </w:t>
      </w:r>
    </w:p>
    <w:p w14:paraId="7DAE956F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2DA7CE05">
      <w:pPr>
        <w:numPr>
          <w:ilvl w:val="0"/>
          <w:numId w:val="18"/>
        </w:numPr>
        <w:snapToGrid w:val="0"/>
        <w:spacing w:after="60"/>
        <w:contextualSpacing/>
        <w:rPr>
          <w:rFonts w:hint="default" w:ascii="Times New Roman" w:hAnsi="Times New Roman" w:eastAsia="Malgun Gothic" w:cs="Times New Roman"/>
          <w:bCs/>
          <w:sz w:val="22"/>
          <w:szCs w:val="22"/>
          <w:lang w:val="en-GB" w:eastAsia="en-US"/>
        </w:rPr>
      </w:pPr>
      <w:r>
        <w:rPr>
          <w:rFonts w:hint="default" w:ascii="Times New Roman" w:hAnsi="Times New Roman" w:eastAsia="等线" w:cs="Times New Roman"/>
          <w:bCs/>
          <w:sz w:val="22"/>
          <w:szCs w:val="22"/>
          <w:lang w:val="en-GB" w:eastAsia="zh-CN"/>
        </w:rPr>
        <w:t>Specification supports t</w:t>
      </w:r>
      <w:r>
        <w:rPr>
          <w:rFonts w:hint="default" w:ascii="Times New Roman" w:hAnsi="Times New Roman" w:eastAsia="Malgun Gothic" w:cs="Times New Roman"/>
          <w:bCs/>
          <w:sz w:val="22"/>
          <w:szCs w:val="22"/>
          <w:lang w:val="en-GB" w:eastAsia="en-US"/>
        </w:rPr>
        <w:t xml:space="preserve">he maximum number of PUSCHs/PDSCHs </w:t>
      </w:r>
      <w:r>
        <w:rPr>
          <w:rFonts w:hint="default" w:ascii="Times New Roman" w:hAnsi="Times New Roman" w:eastAsia="等线" w:cs="Times New Roman"/>
          <w:bCs/>
          <w:sz w:val="22"/>
          <w:szCs w:val="22"/>
          <w:lang w:val="en-GB" w:eastAsia="zh-CN"/>
        </w:rPr>
        <w:t>for a</w:t>
      </w:r>
      <w:r>
        <w:rPr>
          <w:rFonts w:hint="default" w:ascii="Times New Roman" w:hAnsi="Times New Roman" w:eastAsia="Malgun Gothic" w:cs="Times New Roman"/>
          <w:bCs/>
          <w:sz w:val="22"/>
          <w:szCs w:val="22"/>
          <w:lang w:val="en-GB" w:eastAsia="en-US"/>
        </w:rPr>
        <w:t xml:space="preserve"> scheduled cell by a DCI format 0_3/1_3 is 8.</w:t>
      </w:r>
    </w:p>
    <w:p w14:paraId="5D25856F">
      <w:pPr>
        <w:numPr>
          <w:ilvl w:val="0"/>
          <w:numId w:val="18"/>
        </w:numPr>
        <w:snapToGrid w:val="0"/>
        <w:spacing w:after="60"/>
        <w:contextualSpacing/>
        <w:rPr>
          <w:rFonts w:hint="default" w:ascii="Times New Roman" w:hAnsi="Times New Roman" w:eastAsia="等线" w:cs="Times New Roman"/>
          <w:sz w:val="22"/>
          <w:szCs w:val="22"/>
          <w:lang w:val="en-GB"/>
        </w:rPr>
      </w:pPr>
      <w:r>
        <w:rPr>
          <w:rFonts w:hint="default" w:ascii="Times New Roman" w:hAnsi="Times New Roman" w:eastAsia="Malgun Gothic" w:cs="Times New Roman"/>
          <w:bCs/>
          <w:sz w:val="22"/>
          <w:szCs w:val="22"/>
          <w:lang w:val="en-GB" w:eastAsia="en-US"/>
        </w:rPr>
        <w:t>Payload size of a DCI format 0_3/1_3 exceeding 140 is not supported in Rel-19.</w:t>
      </w:r>
    </w:p>
    <w:p w14:paraId="037CCB85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659858C6">
      <w:pPr>
        <w:numPr>
          <w:ilvl w:val="0"/>
          <w:numId w:val="18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Type-2 HARQ-ACK codebook is 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>generated by concatenating a first sub-codebook and a second sub-codebook.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</w:p>
    <w:p w14:paraId="20928B42">
      <w:pPr>
        <w:numPr>
          <w:ilvl w:val="0"/>
          <w:numId w:val="19"/>
        </w:numPr>
        <w:contextualSpacing/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</w:pP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>The first sub-codebook comprises HARQ-ACK information bits for PDSCH(s) scheduled by DCI(s) with each scheduling a single PDSCH,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zh-CN"/>
        </w:rPr>
        <w:t xml:space="preserve"> 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or each scheduling a single cell with multiple PDSCHs on it and </w:t>
      </w:r>
      <w:r>
        <w:rPr>
          <w:rFonts w:hint="default" w:ascii="Times New Roman" w:hAnsi="Times New Roman" w:eastAsia="MS Mincho" w:cs="Times New Roman"/>
          <w:bCs/>
          <w:i/>
          <w:iCs/>
          <w:sz w:val="22"/>
          <w:szCs w:val="22"/>
          <w:lang w:val="en-GB" w:eastAsia="ja-JP"/>
        </w:rPr>
        <w:t>nrofHARQ-BundlingGroups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 configured as 1, and HARQ-ACK information bit(s) for DCI(s) having associated HARQ-ACK information without scheduling PDSCH reception. </w:t>
      </w:r>
    </w:p>
    <w:p w14:paraId="30F528F6">
      <w:pPr>
        <w:numPr>
          <w:ilvl w:val="0"/>
          <w:numId w:val="19"/>
        </w:numPr>
        <w:snapToGrid w:val="0"/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</w:pP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The second sub-codebook comprises HARQ-ACK information bits for PDSCHs scheduled by DCI(s) with each scheduling more than one cell, or each scheduling a single cell with multiple PDSCHs on it without </w:t>
      </w:r>
      <w:r>
        <w:rPr>
          <w:rFonts w:hint="default" w:ascii="Times New Roman" w:hAnsi="Times New Roman" w:eastAsia="MS Mincho" w:cs="Times New Roman"/>
          <w:bCs/>
          <w:i/>
          <w:iCs/>
          <w:sz w:val="22"/>
          <w:szCs w:val="22"/>
          <w:lang w:val="en-GB" w:eastAsia="ja-JP"/>
        </w:rPr>
        <w:t>nrofHARQ-BundlingGroups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 or </w:t>
      </w:r>
      <w:r>
        <w:rPr>
          <w:rFonts w:hint="default" w:ascii="Times New Roman" w:hAnsi="Times New Roman" w:eastAsia="MS Mincho" w:cs="Times New Roman"/>
          <w:bCs/>
          <w:i/>
          <w:iCs/>
          <w:sz w:val="22"/>
          <w:szCs w:val="22"/>
          <w:lang w:val="en-GB" w:eastAsia="ja-JP"/>
        </w:rPr>
        <w:t>nrofHARQ-BundlingGroups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 configured larger than 1. </w:t>
      </w:r>
    </w:p>
    <w:p w14:paraId="483131DE">
      <w:pPr>
        <w:numPr>
          <w:ilvl w:val="0"/>
          <w:numId w:val="19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Separate DAI counting is applied for DCI(s) associated with the first sub-codebook and DCI(s) associated with the second sub-codebook as Rel-18.</w:t>
      </w:r>
    </w:p>
    <w:p w14:paraId="02241B8C">
      <w:pPr>
        <w:numPr>
          <w:ilvl w:val="0"/>
          <w:numId w:val="19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Note: For providing HARQ-ACK information corresponding to SCell dormancy indication, the UE assumes that the UE receives a PDSCH on the serving cell associated with fields in DCI format 1_3 used for SCell dormancy indicatio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n as Rel-18.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 xml:space="preserve">        </w:t>
      </w:r>
    </w:p>
    <w:p w14:paraId="3E417C49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7149DFB9">
      <w:pPr>
        <w:numPr>
          <w:ilvl w:val="0"/>
          <w:numId w:val="18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For the second sub-codebook, the number of HARQ-ACK information bits for each DCI format 1_3 is equal to M</w:t>
      </w:r>
      <w:r>
        <w:rPr>
          <w:rFonts w:hint="default" w:ascii="Times New Roman" w:hAnsi="Times New Roman" w:eastAsia="等线" w:cs="Times New Roman"/>
          <w:sz w:val="22"/>
          <w:szCs w:val="22"/>
          <w:lang w:val="en-GB"/>
        </w:rPr>
        <w:t>, to select one of the following options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.</w:t>
      </w:r>
    </w:p>
    <w:p w14:paraId="3A18BFEF">
      <w:pPr>
        <w:numPr>
          <w:ilvl w:val="1"/>
          <w:numId w:val="18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Option 1: M is the maximum number of HARQ-ACK information </w:t>
      </w:r>
      <w:r>
        <w:rPr>
          <w:rFonts w:hint="default" w:ascii="Times New Roman" w:hAnsi="Times New Roman" w:eastAsia="Batang" w:cs="Times New Roman"/>
          <w:color w:val="000000"/>
          <w:sz w:val="22"/>
          <w:szCs w:val="22"/>
          <w:lang w:val="en-GB" w:eastAsia="en-US"/>
        </w:rPr>
        <w:t xml:space="preserve">bits which can be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generated for a DCI format 1_3 across all the configured cell set(s) in the PUCCH group for the UE. M is implicitly derived based on RRC configuration. </w:t>
      </w:r>
    </w:p>
    <w:p w14:paraId="6287F3E3">
      <w:pPr>
        <w:numPr>
          <w:ilvl w:val="1"/>
          <w:numId w:val="18"/>
        </w:numPr>
        <w:snapToGrid w:val="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Option 2: M is explicitly configured by RRC parameter for the PUCCH group.</w:t>
      </w:r>
    </w:p>
    <w:p w14:paraId="79F57EF6">
      <w:pPr>
        <w:numPr>
          <w:ilvl w:val="1"/>
          <w:numId w:val="18"/>
        </w:numPr>
        <w:snapToGrid w:val="0"/>
        <w:rPr>
          <w:rFonts w:hint="default" w:ascii="Times New Roman" w:hAnsi="Times New Roman" w:eastAsia="等线" w:cs="Times New Roman"/>
          <w:sz w:val="22"/>
          <w:szCs w:val="22"/>
          <w:lang w:val="en-GB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Other options are not precluded.</w:t>
      </w:r>
    </w:p>
    <w:p w14:paraId="5A148A2B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6105758D">
      <w:pPr>
        <w:numPr>
          <w:ilvl w:val="0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sz w:val="22"/>
          <w:szCs w:val="22"/>
        </w:rPr>
        <w:t>For NDI indication in DCI format 0_3/1_3 for TB1,</w:t>
      </w:r>
      <w:r>
        <w:rPr>
          <w:rFonts w:hint="default" w:ascii="Times New Roman" w:hAnsi="Times New Roman" w:eastAsia="等线" w:cs="Times New Roman"/>
          <w:sz w:val="22"/>
          <w:szCs w:val="22"/>
        </w:rPr>
        <w:t xml:space="preserve"> further study</w:t>
      </w:r>
    </w:p>
    <w:p w14:paraId="297B8B93">
      <w:pPr>
        <w:numPr>
          <w:ilvl w:val="1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Option 1: For each block of NDI field, the number of bits is equal to 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on the corresponding cell by the DCI format 0_3/1_3.</w:t>
      </w:r>
    </w:p>
    <w:p w14:paraId="03A648B8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on the corresponding cell is determined by TDRA table for the cell.</w:t>
      </w:r>
    </w:p>
    <w:p w14:paraId="1D4064CE">
      <w:pPr>
        <w:numPr>
          <w:ilvl w:val="1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Option 2a: Total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number of bits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of the NDI field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is equal to 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by the DCI format 0_3/1_3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across all the co-schedulable cells.</w:t>
      </w:r>
    </w:p>
    <w:p w14:paraId="4A6801E3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The number of bits of a block of NDI field corresponding to a scheduled cell is equal to the actual number of the scheduled PUSCHs/PDSCHs by the DCI format 0_3/1_3 on the cell.</w:t>
      </w:r>
    </w:p>
    <w:p w14:paraId="131D2D25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 xml:space="preserve">Some reserved bits are needed when the actual number of the scheduled PUSCHs/PDSCHs by the DCI format 0_3/1_3 is smaller than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by the DCI format 0_3/1_3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across all the co-schedulable cells.</w:t>
      </w:r>
    </w:p>
    <w:p w14:paraId="6159A973">
      <w:pPr>
        <w:numPr>
          <w:ilvl w:val="0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Other options are not precluded.</w:t>
      </w:r>
    </w:p>
    <w:p w14:paraId="47C685C8">
      <w:pPr>
        <w:numPr>
          <w:ilvl w:val="0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Note: For Option 1 and 2a, 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SubSupPr>
          <m:e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N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e>
          <m:sub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cell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b>
          <m:sup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UL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p>
        </m:sSubSup>
        <m:r>
          <m:rPr/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 xml:space="preserve"> </m:t>
        </m:r>
        <m:r>
          <m:rPr>
            <m:sty m:val="p"/>
          </m:rPr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>or</m:t>
        </m:r>
        <m:r>
          <m:rPr/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 xml:space="preserve"> </m:t>
        </m:r>
        <m:sSubSup>
          <m:sSubSupP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SubSupPr>
          <m:e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N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e>
          <m:sub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cell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b>
          <m:sup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DL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p>
        </m:sSubSup>
      </m:oMath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 blocks of NDI field for TB1, same as in Rel-18.</w:t>
      </w:r>
    </w:p>
    <w:p w14:paraId="26071DCD">
      <w:pPr>
        <w:rPr>
          <w:rFonts w:hint="default" w:ascii="Times New Roman" w:hAnsi="Times New Roman" w:eastAsia="等线" w:cs="Times New Roman"/>
          <w:sz w:val="22"/>
          <w:szCs w:val="22"/>
          <w:lang w:val="en-GB"/>
        </w:rPr>
      </w:pPr>
    </w:p>
    <w:p w14:paraId="7A0F1AA2">
      <w:pP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</w:pPr>
      <w:r>
        <w:rPr>
          <w:rFonts w:hint="default" w:ascii="Times New Roman" w:hAnsi="Times New Roman" w:eastAsia="等线" w:cs="Times New Roman"/>
          <w:sz w:val="22"/>
          <w:szCs w:val="22"/>
          <w:highlight w:val="green"/>
          <w:lang w:val="en-GB"/>
        </w:rPr>
        <w:t>Agreement</w:t>
      </w:r>
    </w:p>
    <w:p w14:paraId="307DBEE6">
      <w:pPr>
        <w:numPr>
          <w:ilvl w:val="0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For RV indication in DCI format 0_3/1_3 for TB1, </w:t>
      </w:r>
      <w:r>
        <w:rPr>
          <w:rFonts w:hint="default" w:ascii="Times New Roman" w:hAnsi="Times New Roman" w:eastAsia="等线" w:cs="Times New Roman"/>
          <w:sz w:val="22"/>
          <w:szCs w:val="22"/>
        </w:rPr>
        <w:t>further study</w:t>
      </w:r>
    </w:p>
    <w:p w14:paraId="631155BE">
      <w:pPr>
        <w:numPr>
          <w:ilvl w:val="1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Option 1: For each block of RV field, the number of bits is equal to 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on the corresponding cell by the DCI format 0_3/1_3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and number of bits for RV configured for the cell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.</w:t>
      </w:r>
    </w:p>
    <w:p w14:paraId="2B135236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on the corresponding cell is determined by TDRA table for the cell.</w:t>
      </w:r>
    </w:p>
    <w:p w14:paraId="1F45A295">
      <w:pPr>
        <w:numPr>
          <w:ilvl w:val="1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Option 2a: </w:t>
      </w:r>
      <w:r>
        <w:rPr>
          <w:rFonts w:hint="default" w:ascii="Times New Roman" w:hAnsi="Times New Roman" w:eastAsia="宋体" w:cs="Times New Roman"/>
          <w:bCs/>
          <w:sz w:val="22"/>
          <w:szCs w:val="22"/>
          <w:lang w:val="en-GB" w:eastAsia="en-US"/>
        </w:rPr>
        <w:t>Total</w:t>
      </w: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 xml:space="preserve">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number of bits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of the RV field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is determined based on 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by the DCI format 0_3/1_3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across all the co-schedulable cells.</w:t>
      </w:r>
    </w:p>
    <w:p w14:paraId="4D7AF41D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The number of bits of a block of RV field corresponding to a scheduled cell is determined based on the actual number of the scheduled PUSCHs/PDSCHs by the DCI format 0_3/1_3 on the cell and number of bits for RV configured for the cell.</w:t>
      </w:r>
    </w:p>
    <w:p w14:paraId="00F3C90B">
      <w:pPr>
        <w:numPr>
          <w:ilvl w:val="2"/>
          <w:numId w:val="18"/>
        </w:numPr>
        <w:snapToGrid w:val="0"/>
        <w:spacing w:after="60"/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 xml:space="preserve">Some reserved bits are needed when the actual number of the scheduled PUSCHs/PDSCHs by the DCI format 0_3/1_3 is smaller than 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the maximum number of schedulable 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MS Mincho" w:cs="Times New Roman"/>
          <w:sz w:val="22"/>
          <w:szCs w:val="22"/>
          <w:lang w:val="en-GB" w:eastAsia="ja-JP"/>
        </w:rPr>
        <w:t>by the DCI format 0_3/1_3</w:t>
      </w:r>
      <w:r>
        <w:rPr>
          <w:rFonts w:hint="default" w:ascii="Times New Roman" w:hAnsi="Times New Roman" w:eastAsia="宋体" w:cs="Times New Roman"/>
          <w:sz w:val="22"/>
          <w:szCs w:val="22"/>
          <w:lang w:val="en-GB" w:eastAsia="en-US"/>
        </w:rPr>
        <w:t xml:space="preserve"> across all the co-schedulable cells.</w:t>
      </w:r>
    </w:p>
    <w:p w14:paraId="23744992">
      <w:pPr>
        <w:numPr>
          <w:ilvl w:val="0"/>
          <w:numId w:val="18"/>
        </w:numPr>
        <w:snapToGrid w:val="0"/>
        <w:spacing w:after="60"/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>Other options are not precluded.</w:t>
      </w:r>
    </w:p>
    <w:p w14:paraId="58824C23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eastAsia="Batang" w:cs="Times New Roman"/>
          <w:sz w:val="22"/>
          <w:szCs w:val="22"/>
          <w:lang w:val="en-GB" w:eastAsia="en-US"/>
        </w:rPr>
        <w:t xml:space="preserve">Note: For Option 1 and 2a, </w:t>
      </w:r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SubSupPr>
          <m:e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N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e>
          <m:sub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cell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b>
          <m:sup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UL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p>
        </m:sSubSup>
        <m:r>
          <m:rPr/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 xml:space="preserve"> </m:t>
        </m:r>
        <m:r>
          <m:rPr>
            <m:sty m:val="p"/>
          </m:rPr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>or</m:t>
        </m:r>
        <m:r>
          <m:rPr/>
          <w:rPr>
            <w:rFonts w:hint="default" w:ascii="Cambria Math" w:hAnsi="Cambria Math" w:eastAsia="MS Mincho" w:cs="Times New Roman"/>
            <w:sz w:val="22"/>
            <w:szCs w:val="22"/>
            <w:lang w:val="en-GB" w:eastAsia="ja-JP"/>
          </w:rPr>
          <m:t xml:space="preserve"> </m:t>
        </m:r>
        <m:sSubSup>
          <m:sSubSupP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SubSupPr>
          <m:e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N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e>
          <m:sub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cell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b>
          <m:sup>
            <m:r>
              <m:rPr/>
              <w:rPr>
                <w:rFonts w:hint="default" w:ascii="Cambria Math" w:hAnsi="Cambria Math" w:eastAsia="MS Mincho" w:cs="Times New Roman"/>
                <w:sz w:val="22"/>
                <w:szCs w:val="22"/>
                <w:lang w:val="en-GB" w:eastAsia="ja-JP"/>
              </w:rPr>
              <m:t>DL</m:t>
            </m:r>
            <m:ctrlPr>
              <w:rPr>
                <w:rFonts w:hint="default" w:ascii="Cambria Math" w:hAnsi="Cambria Math" w:eastAsia="MS Mincho" w:cs="Times New Roman"/>
                <w:bCs/>
                <w:i/>
                <w:sz w:val="22"/>
                <w:szCs w:val="22"/>
                <w:lang w:val="en-GB" w:eastAsia="ja-JP"/>
              </w:rPr>
            </m:ctrlPr>
          </m:sup>
        </m:sSubSup>
      </m:oMath>
      <w:r>
        <w:rPr>
          <w:rFonts w:hint="default" w:ascii="Times New Roman" w:hAnsi="Times New Roman" w:eastAsia="MS Mincho" w:cs="Times New Roman"/>
          <w:bCs/>
          <w:sz w:val="22"/>
          <w:szCs w:val="22"/>
          <w:lang w:val="en-GB" w:eastAsia="ja-JP"/>
        </w:rPr>
        <w:t xml:space="preserve"> blocks of RV field for TB1, same as in Rel-18.</w:t>
      </w:r>
    </w:p>
    <w:p w14:paraId="12C8CA4D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In this contribution,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further enhancements f</w:t>
      </w:r>
      <w:r>
        <w:rPr>
          <w:rFonts w:hint="default" w:ascii="Times New Roman" w:hAnsi="Times New Roman" w:cs="Times New Roman"/>
          <w:sz w:val="22"/>
          <w:szCs w:val="22"/>
        </w:rPr>
        <w:t xml:space="preserve">or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multi-cell PUSCH/PDSCH scheduling with a single DCI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are</w:t>
      </w:r>
      <w:r>
        <w:rPr>
          <w:rFonts w:hint="default" w:ascii="Times New Roman" w:hAnsi="Times New Roman" w:cs="Times New Roman"/>
          <w:sz w:val="22"/>
          <w:szCs w:val="22"/>
        </w:rPr>
        <w:t xml:space="preserve"> discussed.</w:t>
      </w:r>
    </w:p>
    <w:bookmarkEnd w:id="5"/>
    <w:p w14:paraId="3C05A020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60" w:lineRule="auto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Discussion</w:t>
      </w:r>
      <w:bookmarkStart w:id="6" w:name="OLE_LINK4"/>
      <w:bookmarkStart w:id="7" w:name="OLE_LINK3"/>
    </w:p>
    <w:p w14:paraId="6866CBDD">
      <w:pPr>
        <w:pStyle w:val="4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Reference PDSCH for HARQ-ACK reporting</w:t>
      </w:r>
      <w:bookmarkEnd w:id="6"/>
      <w:bookmarkEnd w:id="7"/>
      <w:bookmarkStart w:id="8" w:name="OLE_LINK9"/>
    </w:p>
    <w:bookmarkEnd w:id="8"/>
    <w:p w14:paraId="4AA7D326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For determining the timing of a PUCCH carrying HARQ-ACK information corresponding to a set of co-scheduled PDSCHs by a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bookmarkStart w:id="9" w:name="OLE_LINK10"/>
      <w:r>
        <w:rPr>
          <w:rFonts w:hint="default" w:ascii="Times New Roman" w:hAnsi="Times New Roman" w:cs="Times New Roman"/>
          <w:sz w:val="22"/>
          <w:szCs w:val="22"/>
        </w:rPr>
        <w:t xml:space="preserve">the </w:t>
      </w:r>
      <w:bookmarkStart w:id="10" w:name="OLE_LINK2"/>
      <w:r>
        <w:rPr>
          <w:rFonts w:hint="default" w:ascii="Times New Roman" w:hAnsi="Times New Roman" w:cs="Times New Roman"/>
          <w:sz w:val="22"/>
          <w:szCs w:val="22"/>
        </w:rPr>
        <w:t>reference PDSCH is the PDSCH ending last as indicated in the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 among the set of co-scheduled PDSCHs</w:t>
      </w:r>
      <w:bookmarkEnd w:id="10"/>
      <w:r>
        <w:rPr>
          <w:rFonts w:hint="default" w:ascii="Times New Roman" w:hAnsi="Times New Roman" w:cs="Times New Roman"/>
          <w:sz w:val="22"/>
          <w:szCs w:val="22"/>
          <w:lang w:eastAsia="zh-CN"/>
        </w:rPr>
        <w:t>, it can guarantee enough processing time for PDSCH and preparation time for HARQ-ACK.</w:t>
      </w:r>
      <w:bookmarkEnd w:id="9"/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In the current specification, procedure of a UE for reporting HARQ-ACK as shown below:</w:t>
      </w:r>
    </w:p>
    <w:p w14:paraId="235C27EE">
      <w:pPr>
        <w:jc w:val="both"/>
        <w:rPr>
          <w:rFonts w:hint="default" w:ascii="Times New Roman" w:hAnsi="Times New Roman" w:cs="Times New Roman"/>
          <w:i/>
          <w:iCs/>
          <w:sz w:val="22"/>
          <w:szCs w:val="22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lang w:eastAsia="zh-CN"/>
        </w:rPr>
        <w:t>I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f the UE is provided subslotLengthForPUCCH,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n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is the last UL slot for PUCCH transmission that overlaps with a PDSCH reception or with a PDCCH reception providing a DCI format having associated HARQ-ACK information without scheduling a PDSCH reception; otherwise,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n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is the last UL slot for PUCCH transmission that overlaps with the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for the PDSCH reception or with the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  <m:r>
          <m:rPr/>
          <w:rPr>
            <w:rFonts w:hint="default" w:ascii="Cambria Math" w:hAnsi="Cambria Math" w:cs="Times New Roman"/>
            <w:sz w:val="22"/>
            <w:szCs w:val="22"/>
          </w:rPr>
          <m:t xml:space="preserve"> 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>for the PDCCH reception in case of a DCI format that triggers a HARQ-ACK information report and does not schedule a PDSCH reception.</w:t>
      </w:r>
    </w:p>
    <w:p w14:paraId="2174A81C">
      <w:pPr>
        <w:jc w:val="both"/>
        <w:rPr>
          <w:rFonts w:hint="default" w:ascii="Times New Roman" w:hAnsi="Times New Roman" w:cs="Times New Roman"/>
          <w:i/>
          <w:iCs/>
          <w:sz w:val="22"/>
          <w:szCs w:val="22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For a SPS PDSCH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, the UE transmits the PUCCH in UL slot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where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is provided by the PDSCH-to-HARQ_feedback timing indicator field, if present, in a DCI format activating the SPS PDSCH reception. </w:t>
      </w:r>
    </w:p>
    <w:p w14:paraId="1361FB10">
      <w:pPr>
        <w:jc w:val="both"/>
        <w:rPr>
          <w:rFonts w:hint="default" w:ascii="Times New Roman" w:hAnsi="Times New Roman" w:cs="Times New Roman"/>
          <w:i/>
          <w:iCs/>
          <w:sz w:val="22"/>
          <w:szCs w:val="22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If the UE detects a DCI format that does not include a PDSCH-to-HARQ_feedback timing indicator field and schedules a PDSCH reception or activates a SPS PDSCH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, the UE provides corresponding HARQ-ACK information in a PUCCH transmission within UL slot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where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is provided by dl-DataToUL-ACK, or dl-DataToUL-ACK-r16, or dl-DataToUL-ACK-DCI-1-2, or dl-DataToUL-ACK-r17</w:t>
      </w:r>
      <w:r>
        <w:rPr>
          <w:rFonts w:hint="default" w:ascii="Times New Roman" w:hAnsi="Times New Roman" w:cs="Times New Roman"/>
          <w:i/>
          <w:iCs/>
          <w:kern w:val="2"/>
          <w:sz w:val="22"/>
          <w:szCs w:val="22"/>
        </w:rPr>
        <w:t xml:space="preserve">, </w:t>
      </w:r>
      <w:r>
        <w:rPr>
          <w:rFonts w:hint="default" w:ascii="Times New Roman" w:hAnsi="Times New Roman" w:eastAsia="Malgun Gothic" w:cs="Times New Roman"/>
          <w:i/>
          <w:iCs/>
          <w:sz w:val="22"/>
          <w:szCs w:val="22"/>
          <w:lang w:eastAsia="zh-CN"/>
        </w:rPr>
        <w:t xml:space="preserve">or </w:t>
      </w:r>
      <w:r>
        <w:rPr>
          <w:rFonts w:hint="default" w:ascii="Times New Roman" w:hAnsi="Times New Roman" w:eastAsia="Malgun Gothic" w:cs="Times New Roman"/>
          <w:i/>
          <w:iCs/>
          <w:sz w:val="22"/>
          <w:szCs w:val="22"/>
        </w:rPr>
        <w:t>dl-DataToUL-ACK-DCI-1-2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-r17, or dl-DataToUL-ACK-v1700.</w:t>
      </w:r>
    </w:p>
    <w:p w14:paraId="30E953D4">
      <w:pPr>
        <w:rPr>
          <w:rFonts w:hint="default"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If the UE detects a DCI format scheduling a number of PDSCH receptions ending in DL slot </w:t>
      </w:r>
      <m:oMath>
        <m:sSub>
          <w:bookmarkStart w:id="11" w:name="_Hlk39321600"/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w:bookmarkEnd w:id="11"/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or if the UE detects a DCI format generating a HARQ-ACK information bit</w:t>
      </w:r>
      <w:r>
        <w:rPr>
          <w:rFonts w:hint="default" w:ascii="Times New Roman" w:hAnsi="Times New Roman" w:cs="Times New Roman"/>
          <w:i/>
          <w:iCs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and does not schedule a PDSCH reception through a PDCCH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2"/>
                <w:szCs w:val="22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22"/>
                <w:szCs w:val="22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, the </w:t>
      </w:r>
      <w:bookmarkStart w:id="12" w:name="OLE_LINK5"/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UE provides corresponding HARQ-ACK information in a PUCCH transmission within UL slot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, where </w:t>
      </w:r>
      <m:oMath>
        <m:r>
          <m:rPr/>
          <w:rPr>
            <w:rFonts w:hint="default" w:ascii="Cambria Math" w:hAnsi="Cambria Math" w:cs="Times New Roman"/>
            <w:sz w:val="22"/>
            <w:szCs w:val="22"/>
          </w:rPr>
          <m:t>k</m:t>
        </m:r>
      </m:oMath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is a number of slots and is indicated by the PDSCH-to-HARQ_feedback timing indicator field in the DCI format, if present, or provided by dl-DataToUL-ACK, dl-DataToUL-ACK-r16, or dl-DataToUL-ACK-DCI-1-2, or dl-DataToUL-ACK-r17</w:t>
      </w:r>
      <w:r>
        <w:rPr>
          <w:rFonts w:hint="default" w:ascii="Times New Roman" w:hAnsi="Times New Roman" w:cs="Times New Roman"/>
          <w:i/>
          <w:iCs/>
          <w:kern w:val="2"/>
          <w:sz w:val="22"/>
          <w:szCs w:val="22"/>
        </w:rPr>
        <w:t xml:space="preserve">, </w:t>
      </w:r>
      <w:r>
        <w:rPr>
          <w:rFonts w:hint="default" w:ascii="Times New Roman" w:hAnsi="Times New Roman" w:eastAsia="Malgun Gothic" w:cs="Times New Roman"/>
          <w:i/>
          <w:iCs/>
          <w:sz w:val="22"/>
          <w:szCs w:val="22"/>
          <w:lang w:eastAsia="zh-CN"/>
        </w:rPr>
        <w:t xml:space="preserve">or </w:t>
      </w:r>
      <w:r>
        <w:rPr>
          <w:rFonts w:hint="default" w:ascii="Times New Roman" w:hAnsi="Times New Roman" w:eastAsia="Malgun Gothic" w:cs="Times New Roman"/>
          <w:i/>
          <w:iCs/>
          <w:sz w:val="22"/>
          <w:szCs w:val="22"/>
        </w:rPr>
        <w:t>dl-DataToUL-ACK-DCI-1-2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-r17, or dl-DataToUL-ACK-v1700.</w:t>
      </w:r>
      <w:bookmarkEnd w:id="12"/>
      <w:r>
        <w:rPr>
          <w:rFonts w:hint="default" w:ascii="Times New Roman" w:hAnsi="Times New Roman" w:cs="Times New Roman"/>
          <w:i/>
          <w:iCs/>
          <w:sz w:val="22"/>
          <w:szCs w:val="22"/>
        </w:rPr>
        <w:t xml:space="preserve"> </w:t>
      </w:r>
    </w:p>
    <w:p w14:paraId="0241BCA4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However, when there are multiple PDSCHs among the co-scheduled PDSCHs than share the same ending symbol, ambiguity may arise between the gNB and UE. This is due to the potential differences in the SCS/carrier type for the multiple PDSCHs, which could lead to varying reference points for determining the PUCCH for HARQ-ACK. In our understanding, the Rel-18 design principle can be followed, the </w:t>
      </w:r>
      <w:r>
        <w:rPr>
          <w:rFonts w:hint="default" w:ascii="Times New Roman" w:hAnsi="Times New Roman" w:cs="Times New Roman"/>
          <w:sz w:val="22"/>
          <w:szCs w:val="22"/>
        </w:rPr>
        <w:t>reference PDSCH is the PDSCH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 among the set of co-scheduled PDSCHs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.</w:t>
      </w:r>
    </w:p>
    <w:p w14:paraId="2EEEA424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yellow"/>
          <w:lang w:eastAsia="zh-CN"/>
        </w:rPr>
      </w:pPr>
      <w:bookmarkStart w:id="13" w:name="OLE_LINK6"/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determining the timing of a PUCCH carrying HARQ-ACK information corresponding to a set of co-scheduled PDSCHs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with different SCS/carrier type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by a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, the reference PDSCH is the PDSCH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among the set of co-scheduled PDSCHs.</w:t>
      </w:r>
    </w:p>
    <w:bookmarkEnd w:id="13"/>
    <w:p w14:paraId="21A5524F">
      <w:pPr>
        <w:pStyle w:val="4"/>
        <w:rPr>
          <w:rFonts w:hint="default" w:ascii="Times New Roman" w:hAnsi="Times New Roman" w:cs="Times New Roman"/>
          <w:sz w:val="22"/>
          <w:szCs w:val="22"/>
        </w:rPr>
      </w:pPr>
      <w:bookmarkStart w:id="14" w:name="OLE_LINK12"/>
      <w:bookmarkStart w:id="15" w:name="OLE_LINK11"/>
      <w:r>
        <w:rPr>
          <w:rFonts w:hint="default" w:ascii="Times New Roman" w:hAnsi="Times New Roman" w:cs="Times New Roman"/>
          <w:sz w:val="22"/>
          <w:szCs w:val="22"/>
        </w:rPr>
        <w:t>Type-2 HARQ-ACK codebook</w:t>
      </w:r>
    </w:p>
    <w:p w14:paraId="758CD404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As mentioned in the WID [1], t</w:t>
      </w:r>
      <w:r>
        <w:rPr>
          <w:rFonts w:hint="default" w:ascii="Times New Roman" w:hAnsi="Times New Roman" w:eastAsia="Yu Mincho" w:cs="Times New Roman"/>
          <w:sz w:val="22"/>
          <w:szCs w:val="22"/>
        </w:rPr>
        <w:t>he maximum number of sub-codebooks for Type-2 HARQ-ACK codebook is not increased for Rel-19 multi-cell scheduling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, thus, 2 sub-codebooks for type-2 HARQ-ACK codebook in Rel-19 can be used. </w:t>
      </w:r>
    </w:p>
    <w:p w14:paraId="64086605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In Rel-18 MC, for Type-2 HARQ-ACK codebook, two sub-codebook are generated with the first sub-codebook comprising HARQ-ACK information bits for PDSCH scheduled by DCI(s) with each scheduling a single cell, and the second sub-codebook comprising HARQ-ACK information bits for PDSCH(s) scheduled by DCI(s) with each scheduling more than one cell, similar way can be re-used in Rel-19. If at least one cell of a set of cells which can be co-scheduled by DCI format 1_3 is configured with maximum 2 codewords per PDSCH without spatial bundling, the number of HARQ-ACK information bits for each DCI format 1_3 that schedules more than one cell of the set of cells is equal to M, where M is the maximum number of TBs which can be co-scheduled by a DCI format 1_3 in the PUCCH group for the UE. Thus, In the second sub-codebook, each DCI corresponds to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drawing>
          <wp:inline distT="0" distB="0" distL="0" distR="0">
            <wp:extent cx="381000" cy="160020"/>
            <wp:effectExtent l="0" t="0" r="0" b="0"/>
            <wp:docPr id="2324548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54824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HARQ-ACK bits, where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drawing>
          <wp:inline distT="0" distB="0" distL="0" distR="0">
            <wp:extent cx="381000" cy="160020"/>
            <wp:effectExtent l="0" t="0" r="0" b="0"/>
            <wp:docPr id="4226723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672319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is the </w:t>
      </w:r>
      <w:bookmarkStart w:id="16" w:name="OLE_LINK13"/>
      <w:r>
        <w:rPr>
          <w:rFonts w:hint="default" w:ascii="Times New Roman" w:hAnsi="Times New Roman" w:cs="Times New Roman"/>
          <w:sz w:val="22"/>
          <w:szCs w:val="22"/>
          <w:lang w:eastAsia="zh-CN"/>
        </w:rPr>
        <w:t>maximum total number of TBs</w:t>
      </w:r>
      <w:bookmarkEnd w:id="16"/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in PDSCH receptions that can be scheduled by a DCI format 1_3 over more than one serving cells in a set of serving cells across the number of sets of serving cells. When more than one PDSCHs scheduled per cell is used, the similar way can also be re-used, with this way, separate DAI counting for DCI(s) with each scheduling a single PDSCH and DCI(s) with each scheduling more than one PDSCHs can be used. </w:t>
      </w:r>
    </w:p>
    <w:p w14:paraId="6F441E7F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Furthermore, the information bits can be ordered as, the first, in ascending order of the PDSCH reception starting time for the same {serving cell, PDCCH monitoring occasion} pair, the second, in ascending order of serving cell index, and the third, in ascending order of PDCCH monitoring occasion index.</w:t>
      </w:r>
    </w:p>
    <w:p w14:paraId="174AA4CC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 For type-2 HARQ-ACK information bits, can be ordered as, the first, in ascending order of the PDSCH reception starting time for the same {serving cell, PDCCH monitoring occasion} pair, the second, in ascending order of serving cell index, and the third, in ascending order of PDCCH monitoring occasion index.</w:t>
      </w:r>
    </w:p>
    <w:p w14:paraId="660AC937">
      <w:pPr>
        <w:pStyle w:val="4"/>
        <w:bidi w:val="0"/>
        <w:ind w:left="528" w:leftChars="0" w:hanging="528" w:firstLineChars="0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NDI </w:t>
      </w:r>
      <w:r>
        <w:rPr>
          <w:rFonts w:hint="eastAsia" w:cs="Times New Roman"/>
          <w:sz w:val="22"/>
          <w:szCs w:val="22"/>
          <w:lang w:val="en-US" w:eastAsia="zh-CN"/>
        </w:rPr>
        <w:t>field size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</w:p>
    <w:p w14:paraId="249BDA61">
      <w:pPr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 size of Option 1 for each block of NDI field is determined by the maximum number of schedulable PUSCHs/PDSCHs on the corresponding cell. Option 2a has been suggested as a method to reduce DCI overhead. However, compared to Option 1, it introduces more complexity into the UE implementation for DCI decoding. The UE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needs to check the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scheduled cell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in the DCI to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ascertain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the number of scheduled P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U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SCH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s/PDSCHs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based on the TDRA-tables to finally being able to determine the number of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NDI bits.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Therefore, option 1 is prefer. </w:t>
      </w:r>
    </w:p>
    <w:p w14:paraId="1A440B94">
      <w:pPr>
        <w:numPr>
          <w:ilvl w:val="0"/>
          <w:numId w:val="0"/>
        </w:numPr>
        <w:snapToGrid w:val="0"/>
        <w:spacing w:after="60"/>
        <w:ind w:leftChars="0"/>
        <w:jc w:val="both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For NDI indication in DCI format 0_3/1_3 for TB1,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Option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should be supported.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For each block of NDI field, the number of bits is equal to the maximum number of 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by the DCI format 0_3/1_3.</w:t>
      </w:r>
    </w:p>
    <w:p w14:paraId="7A30E154">
      <w:pPr>
        <w:numPr>
          <w:ilvl w:val="1"/>
          <w:numId w:val="18"/>
        </w:numPr>
        <w:snapToGrid w:val="0"/>
        <w:spacing w:after="60"/>
        <w:ind w:left="1080" w:leftChars="0" w:hanging="360" w:firstLineChars="0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is determined by TDRA table for the cell.</w:t>
      </w:r>
    </w:p>
    <w:p w14:paraId="52591011">
      <w:pPr>
        <w:pStyle w:val="4"/>
        <w:bidi w:val="0"/>
        <w:ind w:left="528" w:leftChars="0" w:hanging="528" w:firstLineChars="0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sz w:val="22"/>
          <w:szCs w:val="22"/>
          <w:lang w:val="en-US" w:eastAsia="zh-CN"/>
        </w:rPr>
        <w:t>RV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sz w:val="22"/>
          <w:szCs w:val="22"/>
          <w:lang w:val="en-US" w:eastAsia="zh-CN"/>
        </w:rPr>
        <w:t>field size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</w:p>
    <w:p w14:paraId="086CD282">
      <w:pPr>
        <w:jc w:val="both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Similar to the NDI size determination, the size of Option 1 for each block of RV field is determined by the maximum number of schedulable PUSCHs/PDSCHs on the corresponding cell. Option 2a has been suggested as a method to reduce DCI overhead. However, compared to Option 1, it introduces more complexity into the UE implementation for DCI decoding. The UE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needs to check the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scheduled cell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in the DCI to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ascertain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the number of scheduled P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U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SCH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s/PDSCHs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based on the TDRA-tables to finally being able to determine the number of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NDI bits.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Therefore, option 1 is prefer. </w:t>
      </w:r>
    </w:p>
    <w:p w14:paraId="11447BD6">
      <w:pPr>
        <w:spacing w:after="0"/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In addition to the size of the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RV field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discussed above, there is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another issue that needs to be determined, which 1-bit RV table for multiple PUSCHs/PDSCHs scheduling via single DCI in Rel-19 will be used. In the current specification, for multiple PUSCHs/PDSCHs scheduling via DCI format 0_1/1_1, the usage of RV table is shown below:</w:t>
      </w:r>
    </w:p>
    <w:p w14:paraId="540986A3">
      <w:pPr>
        <w:pStyle w:val="149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>4</w:t>
      </w:r>
      <w:r>
        <w:rPr>
          <w:rFonts w:hint="eastAsia"/>
          <w:lang w:eastAsia="zh-CN"/>
        </w:rPr>
        <w:t>: Redundancy version</w:t>
      </w:r>
    </w:p>
    <w:tbl>
      <w:tblPr>
        <w:tblStyle w:val="6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67"/>
        <w:gridCol w:w="4983"/>
      </w:tblGrid>
      <w:tr w14:paraId="6678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0C7EEADE">
            <w:pPr>
              <w:pStyle w:val="158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  <w:szCs w:val="18"/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7C04FD58">
            <w:pPr>
              <w:pStyle w:val="158"/>
              <w:rPr>
                <w:b/>
                <w:bCs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Cs w:val="18"/>
                <w:lang w:eastAsia="zh-CN"/>
              </w:rPr>
              <w:t xml:space="preserve">Value of </w:t>
            </w:r>
            <w:r>
              <w:rPr>
                <w:b/>
                <w:bCs/>
                <w:position w:val="-12"/>
                <w:szCs w:val="18"/>
              </w:rPr>
              <w:object>
                <v:shape id="_x0000_i1025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  <w:r>
              <w:rPr>
                <w:b/>
                <w:bCs/>
                <w:szCs w:val="18"/>
                <w:lang w:eastAsia="zh-CN"/>
              </w:rPr>
              <w:t xml:space="preserve"> to be applied</w:t>
            </w:r>
          </w:p>
        </w:tc>
      </w:tr>
      <w:tr w14:paraId="4051F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 w14:paraId="261A5960">
            <w:pPr>
              <w:pStyle w:val="1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5BE376D0">
            <w:pPr>
              <w:pStyle w:val="15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90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 w14:paraId="23E091D0">
            <w:pPr>
              <w:pStyle w:val="1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9469361">
            <w:pPr>
              <w:pStyle w:val="158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</w:tbl>
    <w:p w14:paraId="38CFC10F">
      <w:pPr>
        <w:spacing w:after="0"/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</w:p>
    <w:p w14:paraId="7255D74E">
      <w:pPr>
        <w:spacing w:after="0"/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For multiple PUSCHs/PDSCHs scheduling via DCI format 0_3/1_3, the usage of RV table is shown below:</w:t>
      </w:r>
    </w:p>
    <w:p w14:paraId="67AAB9AE">
      <w:pPr>
        <w:pStyle w:val="149"/>
        <w:rPr>
          <w:lang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t xml:space="preserve">Table </w:t>
      </w:r>
      <w:r>
        <w:rPr>
          <w:rFonts w:hint="eastAsia"/>
          <w:lang w:eastAsia="zh-CN"/>
        </w:rPr>
        <w:t>7.3.1.2.3</w:t>
      </w:r>
      <w:r>
        <w:t>-</w:t>
      </w:r>
      <w:r>
        <w:rPr>
          <w:rFonts w:hint="eastAsia"/>
          <w:lang w:eastAsia="zh-CN"/>
        </w:rPr>
        <w:t>1: Redundancy version</w:t>
      </w:r>
    </w:p>
    <w:tbl>
      <w:tblPr>
        <w:tblStyle w:val="6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451"/>
        <w:gridCol w:w="2461"/>
      </w:tblGrid>
      <w:tr w14:paraId="7535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1" w:type="dxa"/>
            <w:shd w:val="clear" w:color="auto" w:fill="D9D9D9"/>
            <w:vAlign w:val="center"/>
          </w:tcPr>
          <w:p w14:paraId="1BA23575">
            <w:pPr>
              <w:pStyle w:val="157"/>
              <w:rPr>
                <w:lang w:eastAsia="zh-CN"/>
              </w:rPr>
            </w:pPr>
            <w:r>
              <w:rPr>
                <w:lang w:eastAsia="zh-CN"/>
              </w:rPr>
              <w:t>Value of the Redundancy version field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38E99CE6">
            <w:pPr>
              <w:pStyle w:val="1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Value of </w:t>
            </w:r>
            <w:r>
              <w:rPr>
                <w:position w:val="-12"/>
                <w:sz w:val="20"/>
              </w:rPr>
              <w:object>
                <v:shape id="_x0000_i1026" o:spt="75" type="#_x0000_t75" style="height:18.75pt;width:18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to be applied</w:t>
            </w:r>
          </w:p>
        </w:tc>
      </w:tr>
      <w:tr w14:paraId="34C5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1" w:type="dxa"/>
            <w:vAlign w:val="center"/>
          </w:tcPr>
          <w:p w14:paraId="0DDE3260">
            <w:pPr>
              <w:pStyle w:val="1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203F3AF5">
            <w:pPr>
              <w:pStyle w:val="15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D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1" w:type="dxa"/>
            <w:vAlign w:val="center"/>
          </w:tcPr>
          <w:p w14:paraId="1B58BD6A">
            <w:pPr>
              <w:pStyle w:val="1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36673EC2">
            <w:pPr>
              <w:pStyle w:val="158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54E040A3">
      <w:pPr>
        <w:spacing w:after="0"/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</w:p>
    <w:p w14:paraId="7B00D333">
      <w:pPr>
        <w:spacing w:after="0"/>
        <w:jc w:val="both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In our views,  align with Rel-18 MC-DCI operation is suitable.</w:t>
      </w:r>
    </w:p>
    <w:p w14:paraId="0F9F981A">
      <w:pPr>
        <w:numPr>
          <w:ilvl w:val="0"/>
          <w:numId w:val="0"/>
        </w:numPr>
        <w:snapToGrid w:val="0"/>
        <w:spacing w:after="60"/>
        <w:ind w:leftChars="0"/>
        <w:jc w:val="both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RV indication in DCI format 0_3/1_3 for TB1,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Option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should be supported.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For each block of RV field, the number of bits is equal to the maximum number of 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by the DCI format 0_3/1_3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and number of bits for RV configured for the cell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.</w:t>
      </w:r>
    </w:p>
    <w:p w14:paraId="33F78DE6">
      <w:pPr>
        <w:numPr>
          <w:ilvl w:val="1"/>
          <w:numId w:val="18"/>
        </w:numPr>
        <w:snapToGrid w:val="0"/>
        <w:spacing w:after="60"/>
        <w:ind w:left="1080" w:leftChars="0" w:hanging="360" w:firstLineChars="0"/>
        <w:jc w:val="both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is determined by TDRA table for the cell.</w:t>
      </w:r>
    </w:p>
    <w:p w14:paraId="2F535DEC">
      <w:pPr>
        <w:spacing w:after="0"/>
        <w:jc w:val="both"/>
        <w:rPr>
          <w:rFonts w:hint="default" w:ascii="Times New Roman" w:hAnsi="Times New Roman" w:cs="Times New Roman"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>Proposal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bookmarkStart w:id="17" w:name="_GoBack"/>
      <w:bookmarkEnd w:id="17"/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: The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RV sequence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corresponding to a scheduled PUSCH/PDSCH of multi-PUSCH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>/PDSCH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scheduling using DCI format 0_3/1_3 is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align with Rel-18 MC-DCI operation (RV 0 and RV 3).</w:t>
      </w:r>
    </w:p>
    <w:bookmarkEnd w:id="14"/>
    <w:bookmarkEnd w:id="15"/>
    <w:p w14:paraId="576370D1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20" w:lineRule="exact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Conclusion</w:t>
      </w:r>
    </w:p>
    <w:p w14:paraId="1CEBE522">
      <w:pPr>
        <w:spacing w:line="320" w:lineRule="exact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In this contribution, the following proposals have been made:</w:t>
      </w:r>
    </w:p>
    <w:p w14:paraId="1948CFC7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determining the timing of a PUCCH carrying HARQ-ACK information corresponding to a set of co-scheduled PDSCHs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with different SCS/carrier type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by a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, the reference PDSCH is the PDSCH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among the set of co-scheduled PDSCHs.</w:t>
      </w:r>
    </w:p>
    <w:p w14:paraId="2F44E5EF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 For type-2 HARQ-ACK information bits, can be ordered as, the first, in ascending order of the PDSCH reception starting time for the same {serving cell, PDCCH monitoring occasion} pair, the second, in ascending order of serving cell index, and the third, in ascending order of PDCCH monitoring occasion index.</w:t>
      </w:r>
    </w:p>
    <w:p w14:paraId="1A090491">
      <w:pPr>
        <w:numPr>
          <w:ilvl w:val="0"/>
          <w:numId w:val="0"/>
        </w:numPr>
        <w:snapToGrid w:val="0"/>
        <w:spacing w:after="60"/>
        <w:ind w:leftChars="0"/>
        <w:jc w:val="both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For NDI indication in DCI format 0_3/1_3 for TB1,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Option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should be supported.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For each block of NDI field, the number of bits is equal to the maximum number of 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by the DCI format 0_3/1_3.</w:t>
      </w:r>
    </w:p>
    <w:p w14:paraId="18D235A9">
      <w:pPr>
        <w:numPr>
          <w:ilvl w:val="1"/>
          <w:numId w:val="18"/>
        </w:numPr>
        <w:snapToGrid w:val="0"/>
        <w:spacing w:after="60"/>
        <w:ind w:left="1080" w:leftChars="0" w:hanging="360" w:firstLineChars="0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is determined by TDRA table for the cell.</w:t>
      </w:r>
    </w:p>
    <w:p w14:paraId="37E4EBA7">
      <w:pPr>
        <w:numPr>
          <w:ilvl w:val="0"/>
          <w:numId w:val="0"/>
        </w:numPr>
        <w:snapToGrid w:val="0"/>
        <w:spacing w:after="60"/>
        <w:ind w:leftChars="0"/>
        <w:jc w:val="both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RV indication in DCI format 0_3/1_3 for TB1,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Option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should be supported.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For each block of RV field, the number of bits is equal to the maximum number of 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by the DCI format 0_3/1_3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and number of bits for RV configured for the cell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.</w:t>
      </w:r>
    </w:p>
    <w:p w14:paraId="1F343E49">
      <w:pPr>
        <w:numPr>
          <w:ilvl w:val="1"/>
          <w:numId w:val="18"/>
        </w:numPr>
        <w:snapToGrid w:val="0"/>
        <w:spacing w:after="60"/>
        <w:ind w:left="1080" w:leftChars="0" w:hanging="360" w:firstLineChars="0"/>
        <w:jc w:val="both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 xml:space="preserve">Maximum number of 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schedulable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PUSCH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>s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/PDSCHs</w:t>
      </w:r>
      <w:r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GB" w:eastAsia="en-US"/>
        </w:rPr>
        <w:t xml:space="preserve"> </w:t>
      </w:r>
      <w:r>
        <w:rPr>
          <w:rFonts w:hint="default" w:ascii="Times New Roman" w:hAnsi="Times New Roman" w:eastAsia="等线" w:cs="Times New Roman"/>
          <w:b/>
          <w:bCs/>
          <w:i/>
          <w:iCs/>
          <w:sz w:val="22"/>
          <w:szCs w:val="22"/>
          <w:lang w:val="en-GB" w:eastAsia="en-US"/>
        </w:rPr>
        <w:t>on the corresponding cell is determined by TDRA table for the cell.</w:t>
      </w:r>
    </w:p>
    <w:p w14:paraId="6F989F32">
      <w:pPr>
        <w:spacing w:after="0"/>
        <w:jc w:val="both"/>
        <w:rPr>
          <w:rFonts w:hint="default" w:ascii="Times New Roman" w:hAnsi="Times New Roman" w:cs="Times New Roman"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: The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RV sequence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corresponding to a scheduled PUSCH/PDSCH of multi-PUSCH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>/PDSCH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val="en-US"/>
        </w:rPr>
        <w:t xml:space="preserve"> scheduling using DCI format 0_3/1_3 is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align with Rel-18 MC-DCI operation (RV 0 and RV 3).</w:t>
      </w:r>
    </w:p>
    <w:p w14:paraId="6EC21FDF">
      <w:pPr>
        <w:pStyle w:val="3"/>
        <w:keepNext w:val="0"/>
        <w:keepLines w:val="0"/>
        <w:widowControl w:val="0"/>
        <w:autoSpaceDE w:val="0"/>
        <w:autoSpaceDN w:val="0"/>
        <w:adjustRightInd w:val="0"/>
        <w:spacing w:after="120" w:afterLines="50" w:line="320" w:lineRule="exact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4. References</w:t>
      </w:r>
    </w:p>
    <w:p w14:paraId="284D8F6C">
      <w:pPr>
        <w:spacing w:after="0" w:line="320" w:lineRule="exact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eastAsia="Calibri" w:cs="Times New Roman"/>
          <w:sz w:val="22"/>
          <w:szCs w:val="22"/>
        </w:rPr>
        <w:t xml:space="preserve">[1] </w:t>
      </w:r>
      <w:r>
        <w:rPr>
          <w:rFonts w:hint="default" w:ascii="Times New Roman" w:hAnsi="Times New Roman" w:cs="Times New Roman"/>
          <w:sz w:val="22"/>
          <w:szCs w:val="22"/>
        </w:rPr>
        <w:t>RP-2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42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904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, </w:t>
      </w:r>
      <w:r>
        <w:rPr>
          <w:rFonts w:hint="default" w:ascii="Times New Roman" w:hAnsi="Times New Roman" w:eastAsia="Batang" w:cs="Times New Roman"/>
          <w:b w:val="0"/>
          <w:bCs w:val="0"/>
          <w:sz w:val="22"/>
          <w:szCs w:val="22"/>
          <w:lang w:val="en-US" w:eastAsia="zh-CN"/>
        </w:rPr>
        <w:t>Revised</w:t>
      </w:r>
      <w:r>
        <w:rPr>
          <w:rFonts w:hint="default" w:ascii="Times New Roman" w:hAnsi="Times New Roman" w:eastAsia="Batang" w:cs="Times New Roman"/>
          <w:b w:val="0"/>
          <w:bCs w:val="0"/>
          <w:sz w:val="22"/>
          <w:szCs w:val="22"/>
          <w:lang w:eastAsia="zh-CN"/>
        </w:rPr>
        <w:t xml:space="preserve"> WID: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hint="default" w:ascii="Times New Roman" w:hAnsi="Times New Roman" w:eastAsia="Batang" w:cs="Times New Roman"/>
          <w:b w:val="0"/>
          <w:bCs w:val="0"/>
          <w:sz w:val="22"/>
          <w:szCs w:val="22"/>
          <w:lang w:eastAsia="zh-CN"/>
        </w:rPr>
        <w:t xml:space="preserve">Multi-carrier enhancements for NR Phase </w:t>
      </w:r>
      <w:r>
        <w:rPr>
          <w:rFonts w:hint="default" w:ascii="Times New Roman" w:hAnsi="Times New Roman" w:eastAsia="等线" w:cs="Times New Roman"/>
          <w:b w:val="0"/>
          <w:bCs w:val="0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eastAsia="zh-CN"/>
        </w:rPr>
        <w:t>.</w:t>
      </w:r>
    </w:p>
    <w:p w14:paraId="4283DACE">
      <w:pPr>
        <w:spacing w:after="0" w:line="320" w:lineRule="exact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[2] 3GPP RAN1 #11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9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meeting, Chairman notes.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6"/>
      <w:lvlText w:val="%1."/>
      <w:lvlJc w:val="left"/>
      <w:pPr>
        <w:tabs>
          <w:tab w:val="left" w:pos="11247"/>
        </w:tabs>
        <w:ind w:left="11247" w:hanging="72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2"/>
      <w:lvlText w:val="%1."/>
      <w:lvlJc w:val="left"/>
      <w:pPr>
        <w:tabs>
          <w:tab w:val="left" w:pos="2880"/>
        </w:tabs>
        <w:ind w:left="2880" w:hanging="72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2"/>
      <w:lvlText w:val="%1."/>
      <w:lvlJc w:val="left"/>
      <w:pPr>
        <w:tabs>
          <w:tab w:val="left" w:pos="2160"/>
        </w:tabs>
        <w:ind w:left="2160" w:hanging="72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1440"/>
        </w:tabs>
        <w:ind w:left="1440" w:hanging="72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1"/>
      <w:lvlText w:val=""/>
      <w:lvlJc w:val="left"/>
      <w:pPr>
        <w:tabs>
          <w:tab w:val="left" w:pos="3600"/>
        </w:tabs>
        <w:ind w:left="3600" w:hanging="72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8"/>
      <w:lvlText w:val=""/>
      <w:lvlJc w:val="left"/>
      <w:pPr>
        <w:tabs>
          <w:tab w:val="left" w:pos="2880"/>
        </w:tabs>
        <w:ind w:left="2880" w:hanging="72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29"/>
      <w:lvlText w:val=""/>
      <w:lvlJc w:val="left"/>
      <w:pPr>
        <w:tabs>
          <w:tab w:val="left" w:pos="2160"/>
        </w:tabs>
        <w:ind w:left="2160" w:hanging="72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35"/>
      <w:lvlText w:val=""/>
      <w:lvlJc w:val="left"/>
      <w:pPr>
        <w:tabs>
          <w:tab w:val="left" w:pos="1440"/>
        </w:tabs>
        <w:ind w:left="1440" w:hanging="72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72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720"/>
      </w:pPr>
      <w:rPr>
        <w:rFonts w:hint="default" w:ascii="Symbol" w:hAnsi="Symbol"/>
      </w:rPr>
    </w:lvl>
  </w:abstractNum>
  <w:abstractNum w:abstractNumId="10">
    <w:nsid w:val="1AB955AD"/>
    <w:multiLevelType w:val="multilevel"/>
    <w:tmpl w:val="1AB955AD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913D55"/>
    <w:multiLevelType w:val="multilevel"/>
    <w:tmpl w:val="31913D55"/>
    <w:lvl w:ilvl="0" w:tentative="0">
      <w:start w:val="1"/>
      <w:numFmt w:val="decimal"/>
      <w:pStyle w:val="15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166322"/>
    <w:multiLevelType w:val="multilevel"/>
    <w:tmpl w:val="34166322"/>
    <w:lvl w:ilvl="0" w:tentative="0">
      <w:start w:val="1"/>
      <w:numFmt w:val="bullet"/>
      <w:lvlText w:val="•"/>
      <w:lvlJc w:val="left"/>
      <w:pPr>
        <w:ind w:left="360" w:hanging="360"/>
      </w:pPr>
      <w:rPr>
        <w:rFonts w:hint="default" w:ascii="Arial" w:hAnsi="Arial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>
    <w:nsid w:val="34747E3B"/>
    <w:multiLevelType w:val="multilevel"/>
    <w:tmpl w:val="34747E3B"/>
    <w:lvl w:ilvl="0" w:tentative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 w:tentative="0">
      <w:start w:val="1"/>
      <w:numFmt w:val="decimal"/>
      <w:pStyle w:val="4"/>
      <w:isLgl/>
      <w:lvlText w:val="%1.%2"/>
      <w:lvlJc w:val="left"/>
      <w:pPr>
        <w:ind w:left="528" w:hanging="528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AA46647"/>
    <w:multiLevelType w:val="multilevel"/>
    <w:tmpl w:val="3AA46647"/>
    <w:lvl w:ilvl="0" w:tentative="0">
      <w:start w:val="1"/>
      <w:numFmt w:val="decimal"/>
      <w:pStyle w:val="10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B1F283C"/>
    <w:multiLevelType w:val="singleLevel"/>
    <w:tmpl w:val="4B1F283C"/>
    <w:lvl w:ilvl="0" w:tentative="0">
      <w:start w:val="1"/>
      <w:numFmt w:val="bullet"/>
      <w:pStyle w:val="143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6">
    <w:nsid w:val="4FFE7EA2"/>
    <w:multiLevelType w:val="multilevel"/>
    <w:tmpl w:val="4FFE7EA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760327"/>
    <w:multiLevelType w:val="multilevel"/>
    <w:tmpl w:val="6E760327"/>
    <w:lvl w:ilvl="0" w:tentative="0">
      <w:start w:val="1"/>
      <w:numFmt w:val="decimal"/>
      <w:pStyle w:val="154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>
    <w:nsid w:val="7AB65B36"/>
    <w:multiLevelType w:val="multilevel"/>
    <w:tmpl w:val="7AB65B36"/>
    <w:lvl w:ilvl="0" w:tentative="0">
      <w:start w:val="1"/>
      <w:numFmt w:val="bullet"/>
      <w:pStyle w:val="83"/>
      <w:lvlText w:val=""/>
      <w:lvlJc w:val="left"/>
      <w:pPr>
        <w:ind w:left="11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40"/>
      </w:pPr>
      <w:rPr>
        <w:rFonts w:hint="default" w:ascii="Wingdings" w:hAnsi="Wingdings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8"/>
  </w:num>
  <w:num w:numId="13">
    <w:abstractNumId w:val="14"/>
  </w:num>
  <w:num w:numId="14">
    <w:abstractNumId w:val="15"/>
  </w:num>
  <w:num w:numId="15">
    <w:abstractNumId w:val="17"/>
  </w:num>
  <w:num w:numId="16">
    <w:abstractNumId w:val="11"/>
  </w:num>
  <w:num w:numId="17">
    <w:abstractNumId w:val="16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iNjQ3Mzc2ZmZiNzdmYjJkMjNiYzBiYmNlOGQyZDUifQ=="/>
  </w:docVars>
  <w:rsids>
    <w:rsidRoot w:val="4D8F1B29"/>
    <w:rsid w:val="00001D7E"/>
    <w:rsid w:val="0000259A"/>
    <w:rsid w:val="000031AE"/>
    <w:rsid w:val="000070CC"/>
    <w:rsid w:val="000127C2"/>
    <w:rsid w:val="000140CD"/>
    <w:rsid w:val="00014857"/>
    <w:rsid w:val="0001600B"/>
    <w:rsid w:val="00022C16"/>
    <w:rsid w:val="00023008"/>
    <w:rsid w:val="000320A6"/>
    <w:rsid w:val="00032102"/>
    <w:rsid w:val="000367B4"/>
    <w:rsid w:val="00040DCD"/>
    <w:rsid w:val="0005082B"/>
    <w:rsid w:val="00050AC7"/>
    <w:rsid w:val="00050E9C"/>
    <w:rsid w:val="00054054"/>
    <w:rsid w:val="000560CB"/>
    <w:rsid w:val="00056388"/>
    <w:rsid w:val="00061344"/>
    <w:rsid w:val="00062FDB"/>
    <w:rsid w:val="00065EA4"/>
    <w:rsid w:val="0006641C"/>
    <w:rsid w:val="00066C9B"/>
    <w:rsid w:val="0007190C"/>
    <w:rsid w:val="00076299"/>
    <w:rsid w:val="000818EC"/>
    <w:rsid w:val="00082011"/>
    <w:rsid w:val="00086CF3"/>
    <w:rsid w:val="000878A1"/>
    <w:rsid w:val="00093A1E"/>
    <w:rsid w:val="00093E54"/>
    <w:rsid w:val="0009412F"/>
    <w:rsid w:val="000946D7"/>
    <w:rsid w:val="00097B64"/>
    <w:rsid w:val="000A3D8A"/>
    <w:rsid w:val="000A437C"/>
    <w:rsid w:val="000A542E"/>
    <w:rsid w:val="000A5783"/>
    <w:rsid w:val="000A7E77"/>
    <w:rsid w:val="000B2EAF"/>
    <w:rsid w:val="000B62DF"/>
    <w:rsid w:val="000C439F"/>
    <w:rsid w:val="000C72A7"/>
    <w:rsid w:val="000D0EBE"/>
    <w:rsid w:val="000D15CE"/>
    <w:rsid w:val="000D4AD3"/>
    <w:rsid w:val="000D6CD7"/>
    <w:rsid w:val="000D7BD1"/>
    <w:rsid w:val="000D7E46"/>
    <w:rsid w:val="000E18F2"/>
    <w:rsid w:val="000E4735"/>
    <w:rsid w:val="000E4DF5"/>
    <w:rsid w:val="000F73D6"/>
    <w:rsid w:val="00100487"/>
    <w:rsid w:val="001008DA"/>
    <w:rsid w:val="001020AF"/>
    <w:rsid w:val="001031A6"/>
    <w:rsid w:val="00110FB5"/>
    <w:rsid w:val="001128B1"/>
    <w:rsid w:val="00117DEA"/>
    <w:rsid w:val="00122B69"/>
    <w:rsid w:val="00132F28"/>
    <w:rsid w:val="001379FB"/>
    <w:rsid w:val="001407F2"/>
    <w:rsid w:val="00146907"/>
    <w:rsid w:val="00147DCD"/>
    <w:rsid w:val="0015024B"/>
    <w:rsid w:val="001530C2"/>
    <w:rsid w:val="00155E5F"/>
    <w:rsid w:val="001570CE"/>
    <w:rsid w:val="001602FD"/>
    <w:rsid w:val="00163F21"/>
    <w:rsid w:val="001643D6"/>
    <w:rsid w:val="0017077C"/>
    <w:rsid w:val="0017760C"/>
    <w:rsid w:val="00177ACE"/>
    <w:rsid w:val="00182776"/>
    <w:rsid w:val="001871CF"/>
    <w:rsid w:val="001904C2"/>
    <w:rsid w:val="00190CC7"/>
    <w:rsid w:val="0019154D"/>
    <w:rsid w:val="001943DD"/>
    <w:rsid w:val="001A08BE"/>
    <w:rsid w:val="001A182F"/>
    <w:rsid w:val="001A374C"/>
    <w:rsid w:val="001A5E1F"/>
    <w:rsid w:val="001B4E0F"/>
    <w:rsid w:val="001B6F74"/>
    <w:rsid w:val="001C26D4"/>
    <w:rsid w:val="001C4382"/>
    <w:rsid w:val="001C5F63"/>
    <w:rsid w:val="001C69D7"/>
    <w:rsid w:val="001D1FFE"/>
    <w:rsid w:val="001D3F0E"/>
    <w:rsid w:val="001D4027"/>
    <w:rsid w:val="001D53B9"/>
    <w:rsid w:val="001D6925"/>
    <w:rsid w:val="001E0D41"/>
    <w:rsid w:val="001E3AAB"/>
    <w:rsid w:val="001E5F72"/>
    <w:rsid w:val="001E6711"/>
    <w:rsid w:val="001F4D48"/>
    <w:rsid w:val="001F7221"/>
    <w:rsid w:val="00215C2B"/>
    <w:rsid w:val="002178DC"/>
    <w:rsid w:val="0022013A"/>
    <w:rsid w:val="00221BF5"/>
    <w:rsid w:val="002230BA"/>
    <w:rsid w:val="00223293"/>
    <w:rsid w:val="00230C7F"/>
    <w:rsid w:val="00230EF9"/>
    <w:rsid w:val="002313ED"/>
    <w:rsid w:val="0023725D"/>
    <w:rsid w:val="0024082D"/>
    <w:rsid w:val="0024208D"/>
    <w:rsid w:val="002423BD"/>
    <w:rsid w:val="0024246C"/>
    <w:rsid w:val="00242CA2"/>
    <w:rsid w:val="00246018"/>
    <w:rsid w:val="00255689"/>
    <w:rsid w:val="002558C2"/>
    <w:rsid w:val="00257ECC"/>
    <w:rsid w:val="002609FB"/>
    <w:rsid w:val="002615F1"/>
    <w:rsid w:val="002625EA"/>
    <w:rsid w:val="00270385"/>
    <w:rsid w:val="00271358"/>
    <w:rsid w:val="00273FDF"/>
    <w:rsid w:val="00274757"/>
    <w:rsid w:val="00274904"/>
    <w:rsid w:val="00276C9B"/>
    <w:rsid w:val="00280F4A"/>
    <w:rsid w:val="00281A14"/>
    <w:rsid w:val="00283625"/>
    <w:rsid w:val="00285850"/>
    <w:rsid w:val="002865FD"/>
    <w:rsid w:val="00287C40"/>
    <w:rsid w:val="00294CB8"/>
    <w:rsid w:val="002953EF"/>
    <w:rsid w:val="002A057C"/>
    <w:rsid w:val="002B0617"/>
    <w:rsid w:val="002B118E"/>
    <w:rsid w:val="002B17B2"/>
    <w:rsid w:val="002B4B0D"/>
    <w:rsid w:val="002B5B89"/>
    <w:rsid w:val="002C0E0D"/>
    <w:rsid w:val="002C1788"/>
    <w:rsid w:val="002C23C2"/>
    <w:rsid w:val="002C3AC7"/>
    <w:rsid w:val="002C4687"/>
    <w:rsid w:val="002C6DF2"/>
    <w:rsid w:val="002D004B"/>
    <w:rsid w:val="002D235E"/>
    <w:rsid w:val="002D283A"/>
    <w:rsid w:val="002D7E8C"/>
    <w:rsid w:val="002E0740"/>
    <w:rsid w:val="002E5381"/>
    <w:rsid w:val="002F26EA"/>
    <w:rsid w:val="002F371E"/>
    <w:rsid w:val="002F3959"/>
    <w:rsid w:val="003003F6"/>
    <w:rsid w:val="003012A4"/>
    <w:rsid w:val="00311150"/>
    <w:rsid w:val="003130AC"/>
    <w:rsid w:val="00313AC6"/>
    <w:rsid w:val="003155F2"/>
    <w:rsid w:val="00315D8E"/>
    <w:rsid w:val="00320C73"/>
    <w:rsid w:val="00333C51"/>
    <w:rsid w:val="00334494"/>
    <w:rsid w:val="0033688D"/>
    <w:rsid w:val="0033754D"/>
    <w:rsid w:val="003410B4"/>
    <w:rsid w:val="003426E2"/>
    <w:rsid w:val="00344B98"/>
    <w:rsid w:val="003463FA"/>
    <w:rsid w:val="0034719B"/>
    <w:rsid w:val="003515DB"/>
    <w:rsid w:val="00353E26"/>
    <w:rsid w:val="003549B4"/>
    <w:rsid w:val="00356374"/>
    <w:rsid w:val="00361469"/>
    <w:rsid w:val="00361FB7"/>
    <w:rsid w:val="003634FB"/>
    <w:rsid w:val="0036352A"/>
    <w:rsid w:val="00364C66"/>
    <w:rsid w:val="00365863"/>
    <w:rsid w:val="00373854"/>
    <w:rsid w:val="003758F0"/>
    <w:rsid w:val="00377010"/>
    <w:rsid w:val="0038139C"/>
    <w:rsid w:val="0038322C"/>
    <w:rsid w:val="00383391"/>
    <w:rsid w:val="00386240"/>
    <w:rsid w:val="0038642C"/>
    <w:rsid w:val="00386ABB"/>
    <w:rsid w:val="00386E0B"/>
    <w:rsid w:val="003922E9"/>
    <w:rsid w:val="00397816"/>
    <w:rsid w:val="003A5967"/>
    <w:rsid w:val="003A67FE"/>
    <w:rsid w:val="003B46DC"/>
    <w:rsid w:val="003C46D2"/>
    <w:rsid w:val="003C4CA0"/>
    <w:rsid w:val="003C79E7"/>
    <w:rsid w:val="003D0840"/>
    <w:rsid w:val="003D2CEF"/>
    <w:rsid w:val="003D4186"/>
    <w:rsid w:val="003E1E6E"/>
    <w:rsid w:val="003E28AF"/>
    <w:rsid w:val="003E3E8E"/>
    <w:rsid w:val="003E4D0A"/>
    <w:rsid w:val="003E5374"/>
    <w:rsid w:val="003E620B"/>
    <w:rsid w:val="003E739B"/>
    <w:rsid w:val="003F03CD"/>
    <w:rsid w:val="003F0F86"/>
    <w:rsid w:val="003F1CEA"/>
    <w:rsid w:val="003F2976"/>
    <w:rsid w:val="003F51E8"/>
    <w:rsid w:val="003F5216"/>
    <w:rsid w:val="003F67D4"/>
    <w:rsid w:val="00401577"/>
    <w:rsid w:val="00401B37"/>
    <w:rsid w:val="0040350E"/>
    <w:rsid w:val="00403DB9"/>
    <w:rsid w:val="004047B3"/>
    <w:rsid w:val="00415752"/>
    <w:rsid w:val="00422CD5"/>
    <w:rsid w:val="00424CE6"/>
    <w:rsid w:val="004310DC"/>
    <w:rsid w:val="004314B1"/>
    <w:rsid w:val="00431775"/>
    <w:rsid w:val="00431786"/>
    <w:rsid w:val="004347C7"/>
    <w:rsid w:val="004377DA"/>
    <w:rsid w:val="00441CC8"/>
    <w:rsid w:val="00453C3A"/>
    <w:rsid w:val="004558B9"/>
    <w:rsid w:val="004567C5"/>
    <w:rsid w:val="004576C5"/>
    <w:rsid w:val="004578A9"/>
    <w:rsid w:val="00457E1C"/>
    <w:rsid w:val="00462597"/>
    <w:rsid w:val="00463183"/>
    <w:rsid w:val="00466544"/>
    <w:rsid w:val="00473E2E"/>
    <w:rsid w:val="00474B05"/>
    <w:rsid w:val="00475D96"/>
    <w:rsid w:val="00481B58"/>
    <w:rsid w:val="00484A04"/>
    <w:rsid w:val="00484CAD"/>
    <w:rsid w:val="00494EE6"/>
    <w:rsid w:val="00495A88"/>
    <w:rsid w:val="004A0B46"/>
    <w:rsid w:val="004A3B99"/>
    <w:rsid w:val="004A3FB1"/>
    <w:rsid w:val="004B623E"/>
    <w:rsid w:val="004B6A9A"/>
    <w:rsid w:val="004B79F3"/>
    <w:rsid w:val="004C1B10"/>
    <w:rsid w:val="004C2245"/>
    <w:rsid w:val="004C2286"/>
    <w:rsid w:val="004C58F9"/>
    <w:rsid w:val="004D09E1"/>
    <w:rsid w:val="004D100F"/>
    <w:rsid w:val="004D4506"/>
    <w:rsid w:val="004E63DE"/>
    <w:rsid w:val="004F1FAC"/>
    <w:rsid w:val="004F22AE"/>
    <w:rsid w:val="004F2B3D"/>
    <w:rsid w:val="004F59CB"/>
    <w:rsid w:val="00500474"/>
    <w:rsid w:val="00500DC4"/>
    <w:rsid w:val="00501E06"/>
    <w:rsid w:val="00502B0E"/>
    <w:rsid w:val="00504D3A"/>
    <w:rsid w:val="00506BE5"/>
    <w:rsid w:val="00510AC1"/>
    <w:rsid w:val="005129F5"/>
    <w:rsid w:val="00514A66"/>
    <w:rsid w:val="00517946"/>
    <w:rsid w:val="005221EA"/>
    <w:rsid w:val="00523E3D"/>
    <w:rsid w:val="00524899"/>
    <w:rsid w:val="00527D7C"/>
    <w:rsid w:val="005308CC"/>
    <w:rsid w:val="0053092D"/>
    <w:rsid w:val="00531438"/>
    <w:rsid w:val="00531DF7"/>
    <w:rsid w:val="005339CB"/>
    <w:rsid w:val="00534AAD"/>
    <w:rsid w:val="00534E4B"/>
    <w:rsid w:val="005407F8"/>
    <w:rsid w:val="00541442"/>
    <w:rsid w:val="00541BAE"/>
    <w:rsid w:val="00543B4B"/>
    <w:rsid w:val="005441D2"/>
    <w:rsid w:val="00545A54"/>
    <w:rsid w:val="00545B03"/>
    <w:rsid w:val="00546B45"/>
    <w:rsid w:val="00550234"/>
    <w:rsid w:val="005524ED"/>
    <w:rsid w:val="00552C24"/>
    <w:rsid w:val="0056297E"/>
    <w:rsid w:val="00565DA6"/>
    <w:rsid w:val="00580C11"/>
    <w:rsid w:val="00584D06"/>
    <w:rsid w:val="00585BDA"/>
    <w:rsid w:val="0058673B"/>
    <w:rsid w:val="005912D1"/>
    <w:rsid w:val="00595921"/>
    <w:rsid w:val="005A047C"/>
    <w:rsid w:val="005A12D9"/>
    <w:rsid w:val="005A273E"/>
    <w:rsid w:val="005A2911"/>
    <w:rsid w:val="005A321E"/>
    <w:rsid w:val="005A5D47"/>
    <w:rsid w:val="005B28B0"/>
    <w:rsid w:val="005B413D"/>
    <w:rsid w:val="005B6395"/>
    <w:rsid w:val="005C04C4"/>
    <w:rsid w:val="005C60B7"/>
    <w:rsid w:val="005C655D"/>
    <w:rsid w:val="005C688B"/>
    <w:rsid w:val="005C78B7"/>
    <w:rsid w:val="005C7BCB"/>
    <w:rsid w:val="005D658A"/>
    <w:rsid w:val="005D6DB0"/>
    <w:rsid w:val="005F0362"/>
    <w:rsid w:val="005F1BAC"/>
    <w:rsid w:val="005F2BA2"/>
    <w:rsid w:val="005F3F53"/>
    <w:rsid w:val="005F4E75"/>
    <w:rsid w:val="00600E7B"/>
    <w:rsid w:val="0060379E"/>
    <w:rsid w:val="00606F0F"/>
    <w:rsid w:val="00607873"/>
    <w:rsid w:val="006101F4"/>
    <w:rsid w:val="00610DEE"/>
    <w:rsid w:val="006116B9"/>
    <w:rsid w:val="006137D6"/>
    <w:rsid w:val="0061637C"/>
    <w:rsid w:val="00616C93"/>
    <w:rsid w:val="006206D8"/>
    <w:rsid w:val="00621E48"/>
    <w:rsid w:val="00623137"/>
    <w:rsid w:val="00623DE1"/>
    <w:rsid w:val="0062471C"/>
    <w:rsid w:val="00625071"/>
    <w:rsid w:val="006259B5"/>
    <w:rsid w:val="00626A32"/>
    <w:rsid w:val="0063392A"/>
    <w:rsid w:val="0064132E"/>
    <w:rsid w:val="00643FB4"/>
    <w:rsid w:val="00650278"/>
    <w:rsid w:val="00650D9E"/>
    <w:rsid w:val="0065110A"/>
    <w:rsid w:val="00654098"/>
    <w:rsid w:val="006548A0"/>
    <w:rsid w:val="00657430"/>
    <w:rsid w:val="00662BB9"/>
    <w:rsid w:val="0067254A"/>
    <w:rsid w:val="00673AFD"/>
    <w:rsid w:val="00674B29"/>
    <w:rsid w:val="00674D30"/>
    <w:rsid w:val="00675CBB"/>
    <w:rsid w:val="006778E8"/>
    <w:rsid w:val="00677F10"/>
    <w:rsid w:val="00681C16"/>
    <w:rsid w:val="00683F77"/>
    <w:rsid w:val="006840E4"/>
    <w:rsid w:val="006848B8"/>
    <w:rsid w:val="006855F1"/>
    <w:rsid w:val="00685CE6"/>
    <w:rsid w:val="00686742"/>
    <w:rsid w:val="00687575"/>
    <w:rsid w:val="006955F6"/>
    <w:rsid w:val="006970B6"/>
    <w:rsid w:val="006A3CE6"/>
    <w:rsid w:val="006A5862"/>
    <w:rsid w:val="006A7AA4"/>
    <w:rsid w:val="006B195F"/>
    <w:rsid w:val="006B2344"/>
    <w:rsid w:val="006B3808"/>
    <w:rsid w:val="006B4A4A"/>
    <w:rsid w:val="006C27BC"/>
    <w:rsid w:val="006C320E"/>
    <w:rsid w:val="006C3803"/>
    <w:rsid w:val="006C5C1E"/>
    <w:rsid w:val="006C63F1"/>
    <w:rsid w:val="006D303A"/>
    <w:rsid w:val="006D33AF"/>
    <w:rsid w:val="006D63B7"/>
    <w:rsid w:val="006D74FE"/>
    <w:rsid w:val="006D7E67"/>
    <w:rsid w:val="006F28CD"/>
    <w:rsid w:val="006F38D0"/>
    <w:rsid w:val="006F5A97"/>
    <w:rsid w:val="006F7BC3"/>
    <w:rsid w:val="00700919"/>
    <w:rsid w:val="00701A90"/>
    <w:rsid w:val="00704270"/>
    <w:rsid w:val="0070471C"/>
    <w:rsid w:val="00705A9E"/>
    <w:rsid w:val="007067A7"/>
    <w:rsid w:val="007072ED"/>
    <w:rsid w:val="00711797"/>
    <w:rsid w:val="0071184E"/>
    <w:rsid w:val="00714BD2"/>
    <w:rsid w:val="007158A4"/>
    <w:rsid w:val="0072008B"/>
    <w:rsid w:val="007205DB"/>
    <w:rsid w:val="00730119"/>
    <w:rsid w:val="0073477D"/>
    <w:rsid w:val="0073632C"/>
    <w:rsid w:val="00737E85"/>
    <w:rsid w:val="00745334"/>
    <w:rsid w:val="00745E1C"/>
    <w:rsid w:val="00746A4B"/>
    <w:rsid w:val="00750BFB"/>
    <w:rsid w:val="0075342C"/>
    <w:rsid w:val="00753D2C"/>
    <w:rsid w:val="007613F8"/>
    <w:rsid w:val="007616EC"/>
    <w:rsid w:val="00763BBD"/>
    <w:rsid w:val="00764B28"/>
    <w:rsid w:val="00765A3B"/>
    <w:rsid w:val="00767B7A"/>
    <w:rsid w:val="0077562D"/>
    <w:rsid w:val="00775E2B"/>
    <w:rsid w:val="007773AF"/>
    <w:rsid w:val="0077781A"/>
    <w:rsid w:val="007837F2"/>
    <w:rsid w:val="007867C9"/>
    <w:rsid w:val="00786E51"/>
    <w:rsid w:val="00787079"/>
    <w:rsid w:val="007879BB"/>
    <w:rsid w:val="00787BE3"/>
    <w:rsid w:val="007969B3"/>
    <w:rsid w:val="007A0793"/>
    <w:rsid w:val="007A1217"/>
    <w:rsid w:val="007A7A49"/>
    <w:rsid w:val="007B21B8"/>
    <w:rsid w:val="007B6C51"/>
    <w:rsid w:val="007B946E"/>
    <w:rsid w:val="007C1B3A"/>
    <w:rsid w:val="007C2444"/>
    <w:rsid w:val="007C2B79"/>
    <w:rsid w:val="007C30D5"/>
    <w:rsid w:val="007C5239"/>
    <w:rsid w:val="007C6BF3"/>
    <w:rsid w:val="007D3064"/>
    <w:rsid w:val="007D47ED"/>
    <w:rsid w:val="007D50DB"/>
    <w:rsid w:val="007D58C7"/>
    <w:rsid w:val="007D711A"/>
    <w:rsid w:val="007E11C0"/>
    <w:rsid w:val="007E23F5"/>
    <w:rsid w:val="007E4BD2"/>
    <w:rsid w:val="007F705A"/>
    <w:rsid w:val="00802A3C"/>
    <w:rsid w:val="00803307"/>
    <w:rsid w:val="008060C5"/>
    <w:rsid w:val="0080629E"/>
    <w:rsid w:val="008071EC"/>
    <w:rsid w:val="00810832"/>
    <w:rsid w:val="00813438"/>
    <w:rsid w:val="00815760"/>
    <w:rsid w:val="00830C27"/>
    <w:rsid w:val="008347D1"/>
    <w:rsid w:val="00843C92"/>
    <w:rsid w:val="008444BD"/>
    <w:rsid w:val="00845282"/>
    <w:rsid w:val="008461E6"/>
    <w:rsid w:val="00846FBA"/>
    <w:rsid w:val="00852833"/>
    <w:rsid w:val="00852DB9"/>
    <w:rsid w:val="00853476"/>
    <w:rsid w:val="00854930"/>
    <w:rsid w:val="008562B1"/>
    <w:rsid w:val="008645BE"/>
    <w:rsid w:val="008653F9"/>
    <w:rsid w:val="00866268"/>
    <w:rsid w:val="00875034"/>
    <w:rsid w:val="0087634D"/>
    <w:rsid w:val="00892023"/>
    <w:rsid w:val="008930F8"/>
    <w:rsid w:val="00894D9D"/>
    <w:rsid w:val="00896C89"/>
    <w:rsid w:val="008B2674"/>
    <w:rsid w:val="008C2178"/>
    <w:rsid w:val="008C50DB"/>
    <w:rsid w:val="008D2BA5"/>
    <w:rsid w:val="008D5B85"/>
    <w:rsid w:val="008E0887"/>
    <w:rsid w:val="008E0DED"/>
    <w:rsid w:val="008E1BF6"/>
    <w:rsid w:val="008E2DCC"/>
    <w:rsid w:val="008E4057"/>
    <w:rsid w:val="008E5D3E"/>
    <w:rsid w:val="008E6692"/>
    <w:rsid w:val="008F289B"/>
    <w:rsid w:val="008F56F3"/>
    <w:rsid w:val="008F59DF"/>
    <w:rsid w:val="008F5AA6"/>
    <w:rsid w:val="00902058"/>
    <w:rsid w:val="00903C69"/>
    <w:rsid w:val="00904B02"/>
    <w:rsid w:val="00905322"/>
    <w:rsid w:val="00910673"/>
    <w:rsid w:val="00911C5C"/>
    <w:rsid w:val="00914911"/>
    <w:rsid w:val="00917297"/>
    <w:rsid w:val="00930C1D"/>
    <w:rsid w:val="00930CF8"/>
    <w:rsid w:val="0093334F"/>
    <w:rsid w:val="0093400F"/>
    <w:rsid w:val="009365C9"/>
    <w:rsid w:val="009366A8"/>
    <w:rsid w:val="009366C3"/>
    <w:rsid w:val="009376ED"/>
    <w:rsid w:val="00943E59"/>
    <w:rsid w:val="0094423A"/>
    <w:rsid w:val="0094641D"/>
    <w:rsid w:val="009528EC"/>
    <w:rsid w:val="009605D8"/>
    <w:rsid w:val="0096751E"/>
    <w:rsid w:val="00974B9C"/>
    <w:rsid w:val="00982101"/>
    <w:rsid w:val="009833F2"/>
    <w:rsid w:val="0098697C"/>
    <w:rsid w:val="009874D5"/>
    <w:rsid w:val="0099165C"/>
    <w:rsid w:val="009A1B0E"/>
    <w:rsid w:val="009B0039"/>
    <w:rsid w:val="009B08C9"/>
    <w:rsid w:val="009B2231"/>
    <w:rsid w:val="009B49FE"/>
    <w:rsid w:val="009B5E5C"/>
    <w:rsid w:val="009B6C15"/>
    <w:rsid w:val="009C433B"/>
    <w:rsid w:val="009C6D4C"/>
    <w:rsid w:val="009D0FBF"/>
    <w:rsid w:val="009E1D5A"/>
    <w:rsid w:val="009E229B"/>
    <w:rsid w:val="009E468F"/>
    <w:rsid w:val="009E4C30"/>
    <w:rsid w:val="009E5495"/>
    <w:rsid w:val="009E58AD"/>
    <w:rsid w:val="009F72E1"/>
    <w:rsid w:val="00A015FA"/>
    <w:rsid w:val="00A01A6A"/>
    <w:rsid w:val="00A05E06"/>
    <w:rsid w:val="00A10C5C"/>
    <w:rsid w:val="00A12EA6"/>
    <w:rsid w:val="00A13A67"/>
    <w:rsid w:val="00A172A8"/>
    <w:rsid w:val="00A1737B"/>
    <w:rsid w:val="00A2159A"/>
    <w:rsid w:val="00A21964"/>
    <w:rsid w:val="00A2261F"/>
    <w:rsid w:val="00A23F16"/>
    <w:rsid w:val="00A24353"/>
    <w:rsid w:val="00A30796"/>
    <w:rsid w:val="00A32785"/>
    <w:rsid w:val="00A32A1F"/>
    <w:rsid w:val="00A34777"/>
    <w:rsid w:val="00A34842"/>
    <w:rsid w:val="00A35E78"/>
    <w:rsid w:val="00A35FB0"/>
    <w:rsid w:val="00A46EC1"/>
    <w:rsid w:val="00A54F92"/>
    <w:rsid w:val="00A557A0"/>
    <w:rsid w:val="00A60527"/>
    <w:rsid w:val="00A72116"/>
    <w:rsid w:val="00A75D7A"/>
    <w:rsid w:val="00A828CA"/>
    <w:rsid w:val="00A84C84"/>
    <w:rsid w:val="00A84F72"/>
    <w:rsid w:val="00A859D9"/>
    <w:rsid w:val="00A86289"/>
    <w:rsid w:val="00A90F50"/>
    <w:rsid w:val="00A91DC7"/>
    <w:rsid w:val="00A94327"/>
    <w:rsid w:val="00A94330"/>
    <w:rsid w:val="00AA0736"/>
    <w:rsid w:val="00AA513F"/>
    <w:rsid w:val="00AB02CB"/>
    <w:rsid w:val="00AB0F7D"/>
    <w:rsid w:val="00AB18E1"/>
    <w:rsid w:val="00AB3F2E"/>
    <w:rsid w:val="00AB4CC8"/>
    <w:rsid w:val="00AC3CE7"/>
    <w:rsid w:val="00AC5676"/>
    <w:rsid w:val="00AD1093"/>
    <w:rsid w:val="00AD48BD"/>
    <w:rsid w:val="00AD4CF0"/>
    <w:rsid w:val="00AD5435"/>
    <w:rsid w:val="00AD6E41"/>
    <w:rsid w:val="00AE1ED3"/>
    <w:rsid w:val="00AE1EE4"/>
    <w:rsid w:val="00AE7831"/>
    <w:rsid w:val="00AF281D"/>
    <w:rsid w:val="00AF2858"/>
    <w:rsid w:val="00AF484A"/>
    <w:rsid w:val="00AF78D7"/>
    <w:rsid w:val="00AF7958"/>
    <w:rsid w:val="00B01664"/>
    <w:rsid w:val="00B02958"/>
    <w:rsid w:val="00B05E41"/>
    <w:rsid w:val="00B26801"/>
    <w:rsid w:val="00B36C88"/>
    <w:rsid w:val="00B415EA"/>
    <w:rsid w:val="00B45731"/>
    <w:rsid w:val="00B46AB9"/>
    <w:rsid w:val="00B532B8"/>
    <w:rsid w:val="00B53497"/>
    <w:rsid w:val="00B609BD"/>
    <w:rsid w:val="00B64E1A"/>
    <w:rsid w:val="00B6689A"/>
    <w:rsid w:val="00B66B08"/>
    <w:rsid w:val="00B701DC"/>
    <w:rsid w:val="00B7424E"/>
    <w:rsid w:val="00B7566B"/>
    <w:rsid w:val="00B75FE8"/>
    <w:rsid w:val="00B834E2"/>
    <w:rsid w:val="00B83C17"/>
    <w:rsid w:val="00B84117"/>
    <w:rsid w:val="00B841B9"/>
    <w:rsid w:val="00B91632"/>
    <w:rsid w:val="00B95308"/>
    <w:rsid w:val="00BA3A72"/>
    <w:rsid w:val="00BA4666"/>
    <w:rsid w:val="00BA5D9D"/>
    <w:rsid w:val="00BA6AAC"/>
    <w:rsid w:val="00BA7573"/>
    <w:rsid w:val="00BB16FF"/>
    <w:rsid w:val="00BB1813"/>
    <w:rsid w:val="00BB4C90"/>
    <w:rsid w:val="00BB6A9D"/>
    <w:rsid w:val="00BC12E1"/>
    <w:rsid w:val="00BC1873"/>
    <w:rsid w:val="00BC2F56"/>
    <w:rsid w:val="00BC4744"/>
    <w:rsid w:val="00BC4A80"/>
    <w:rsid w:val="00BC5B6F"/>
    <w:rsid w:val="00BC5CF4"/>
    <w:rsid w:val="00BC7D54"/>
    <w:rsid w:val="00BD266E"/>
    <w:rsid w:val="00BD2EFA"/>
    <w:rsid w:val="00BD3173"/>
    <w:rsid w:val="00BE1A6C"/>
    <w:rsid w:val="00BE361E"/>
    <w:rsid w:val="00BE4683"/>
    <w:rsid w:val="00BE7815"/>
    <w:rsid w:val="00C01452"/>
    <w:rsid w:val="00C0420B"/>
    <w:rsid w:val="00C05A0D"/>
    <w:rsid w:val="00C07332"/>
    <w:rsid w:val="00C074AC"/>
    <w:rsid w:val="00C1592B"/>
    <w:rsid w:val="00C16C4C"/>
    <w:rsid w:val="00C209CF"/>
    <w:rsid w:val="00C21AE6"/>
    <w:rsid w:val="00C24782"/>
    <w:rsid w:val="00C25072"/>
    <w:rsid w:val="00C30DD0"/>
    <w:rsid w:val="00C36AB4"/>
    <w:rsid w:val="00C40DDD"/>
    <w:rsid w:val="00C47C7B"/>
    <w:rsid w:val="00C508A6"/>
    <w:rsid w:val="00C51E81"/>
    <w:rsid w:val="00C51F82"/>
    <w:rsid w:val="00C52170"/>
    <w:rsid w:val="00C57A26"/>
    <w:rsid w:val="00C64DD8"/>
    <w:rsid w:val="00C66455"/>
    <w:rsid w:val="00C7023F"/>
    <w:rsid w:val="00C75371"/>
    <w:rsid w:val="00C75432"/>
    <w:rsid w:val="00C8041C"/>
    <w:rsid w:val="00C80B0D"/>
    <w:rsid w:val="00C80B7F"/>
    <w:rsid w:val="00C83AE1"/>
    <w:rsid w:val="00C86A16"/>
    <w:rsid w:val="00C87E4E"/>
    <w:rsid w:val="00C93604"/>
    <w:rsid w:val="00C9472C"/>
    <w:rsid w:val="00C97B15"/>
    <w:rsid w:val="00CA1D95"/>
    <w:rsid w:val="00CA272E"/>
    <w:rsid w:val="00CA66DB"/>
    <w:rsid w:val="00CB2750"/>
    <w:rsid w:val="00CC42CD"/>
    <w:rsid w:val="00CD1DEB"/>
    <w:rsid w:val="00CD25AE"/>
    <w:rsid w:val="00CD303E"/>
    <w:rsid w:val="00CD4972"/>
    <w:rsid w:val="00CD717B"/>
    <w:rsid w:val="00CE211F"/>
    <w:rsid w:val="00CE4485"/>
    <w:rsid w:val="00CE6BB7"/>
    <w:rsid w:val="00CF27F6"/>
    <w:rsid w:val="00D0135C"/>
    <w:rsid w:val="00D027D0"/>
    <w:rsid w:val="00D0426C"/>
    <w:rsid w:val="00D06353"/>
    <w:rsid w:val="00D065AE"/>
    <w:rsid w:val="00D12824"/>
    <w:rsid w:val="00D2037E"/>
    <w:rsid w:val="00D22509"/>
    <w:rsid w:val="00D23BED"/>
    <w:rsid w:val="00D2502C"/>
    <w:rsid w:val="00D26028"/>
    <w:rsid w:val="00D26ECE"/>
    <w:rsid w:val="00D34A61"/>
    <w:rsid w:val="00D35896"/>
    <w:rsid w:val="00D358C3"/>
    <w:rsid w:val="00D41BB0"/>
    <w:rsid w:val="00D42A4E"/>
    <w:rsid w:val="00D467D9"/>
    <w:rsid w:val="00D5719E"/>
    <w:rsid w:val="00D57ABC"/>
    <w:rsid w:val="00D613BE"/>
    <w:rsid w:val="00D62E92"/>
    <w:rsid w:val="00D70FDC"/>
    <w:rsid w:val="00D80D44"/>
    <w:rsid w:val="00D819AE"/>
    <w:rsid w:val="00D81A8A"/>
    <w:rsid w:val="00D82AE0"/>
    <w:rsid w:val="00D82DD5"/>
    <w:rsid w:val="00D84812"/>
    <w:rsid w:val="00D9178C"/>
    <w:rsid w:val="00D918DD"/>
    <w:rsid w:val="00D93B26"/>
    <w:rsid w:val="00D94788"/>
    <w:rsid w:val="00D96D41"/>
    <w:rsid w:val="00DA05B9"/>
    <w:rsid w:val="00DA166F"/>
    <w:rsid w:val="00DA2FEB"/>
    <w:rsid w:val="00DA66E4"/>
    <w:rsid w:val="00DA6775"/>
    <w:rsid w:val="00DB103B"/>
    <w:rsid w:val="00DB5C04"/>
    <w:rsid w:val="00DC1587"/>
    <w:rsid w:val="00DC16AB"/>
    <w:rsid w:val="00DC3014"/>
    <w:rsid w:val="00DC4715"/>
    <w:rsid w:val="00DC670E"/>
    <w:rsid w:val="00DC7DDE"/>
    <w:rsid w:val="00DD64D1"/>
    <w:rsid w:val="00DE1ADC"/>
    <w:rsid w:val="00DE2141"/>
    <w:rsid w:val="00DE264B"/>
    <w:rsid w:val="00DE2D5F"/>
    <w:rsid w:val="00DE3FB1"/>
    <w:rsid w:val="00DE68F4"/>
    <w:rsid w:val="00DF14D4"/>
    <w:rsid w:val="00DF1DA7"/>
    <w:rsid w:val="00DF3354"/>
    <w:rsid w:val="00DF4D5F"/>
    <w:rsid w:val="00DF6D7B"/>
    <w:rsid w:val="00DF7549"/>
    <w:rsid w:val="00E02E43"/>
    <w:rsid w:val="00E03B3F"/>
    <w:rsid w:val="00E04CDC"/>
    <w:rsid w:val="00E065DD"/>
    <w:rsid w:val="00E072D0"/>
    <w:rsid w:val="00E10315"/>
    <w:rsid w:val="00E128F4"/>
    <w:rsid w:val="00E1303A"/>
    <w:rsid w:val="00E134E4"/>
    <w:rsid w:val="00E1358A"/>
    <w:rsid w:val="00E14FA0"/>
    <w:rsid w:val="00E2016F"/>
    <w:rsid w:val="00E20AC0"/>
    <w:rsid w:val="00E33D57"/>
    <w:rsid w:val="00E346C8"/>
    <w:rsid w:val="00E35ACD"/>
    <w:rsid w:val="00E36590"/>
    <w:rsid w:val="00E37047"/>
    <w:rsid w:val="00E41966"/>
    <w:rsid w:val="00E438FF"/>
    <w:rsid w:val="00E4555C"/>
    <w:rsid w:val="00E50A0B"/>
    <w:rsid w:val="00E51A05"/>
    <w:rsid w:val="00E53D1C"/>
    <w:rsid w:val="00E55A2D"/>
    <w:rsid w:val="00E56279"/>
    <w:rsid w:val="00E601D6"/>
    <w:rsid w:val="00E604B0"/>
    <w:rsid w:val="00E609D5"/>
    <w:rsid w:val="00E66A57"/>
    <w:rsid w:val="00E71BB3"/>
    <w:rsid w:val="00E7245A"/>
    <w:rsid w:val="00E7356B"/>
    <w:rsid w:val="00E76692"/>
    <w:rsid w:val="00E82349"/>
    <w:rsid w:val="00E829CA"/>
    <w:rsid w:val="00E84A96"/>
    <w:rsid w:val="00E85B2D"/>
    <w:rsid w:val="00E93D54"/>
    <w:rsid w:val="00EB0F6B"/>
    <w:rsid w:val="00EB340C"/>
    <w:rsid w:val="00EB5B9B"/>
    <w:rsid w:val="00EC21E9"/>
    <w:rsid w:val="00EC4084"/>
    <w:rsid w:val="00ED0331"/>
    <w:rsid w:val="00ED0E5C"/>
    <w:rsid w:val="00ED14F7"/>
    <w:rsid w:val="00ED1D6F"/>
    <w:rsid w:val="00ED5B55"/>
    <w:rsid w:val="00ED672C"/>
    <w:rsid w:val="00EE79C7"/>
    <w:rsid w:val="00EF0D63"/>
    <w:rsid w:val="00EF2592"/>
    <w:rsid w:val="00EF64BC"/>
    <w:rsid w:val="00F01D0E"/>
    <w:rsid w:val="00F03487"/>
    <w:rsid w:val="00F06077"/>
    <w:rsid w:val="00F07111"/>
    <w:rsid w:val="00F07C8A"/>
    <w:rsid w:val="00F12067"/>
    <w:rsid w:val="00F13354"/>
    <w:rsid w:val="00F22CD5"/>
    <w:rsid w:val="00F25394"/>
    <w:rsid w:val="00F25576"/>
    <w:rsid w:val="00F26176"/>
    <w:rsid w:val="00F30DDA"/>
    <w:rsid w:val="00F34A32"/>
    <w:rsid w:val="00F42A4A"/>
    <w:rsid w:val="00F45A93"/>
    <w:rsid w:val="00F5257D"/>
    <w:rsid w:val="00F539F0"/>
    <w:rsid w:val="00F553F0"/>
    <w:rsid w:val="00F56735"/>
    <w:rsid w:val="00F56A75"/>
    <w:rsid w:val="00F6009E"/>
    <w:rsid w:val="00F61F0D"/>
    <w:rsid w:val="00F62D75"/>
    <w:rsid w:val="00F638C1"/>
    <w:rsid w:val="00F64586"/>
    <w:rsid w:val="00F64BD9"/>
    <w:rsid w:val="00F65426"/>
    <w:rsid w:val="00F65FD8"/>
    <w:rsid w:val="00F665AF"/>
    <w:rsid w:val="00F72972"/>
    <w:rsid w:val="00F729DF"/>
    <w:rsid w:val="00F826F3"/>
    <w:rsid w:val="00F837A6"/>
    <w:rsid w:val="00F853A3"/>
    <w:rsid w:val="00F8745B"/>
    <w:rsid w:val="00F87F7E"/>
    <w:rsid w:val="00F96608"/>
    <w:rsid w:val="00F9675E"/>
    <w:rsid w:val="00FA007E"/>
    <w:rsid w:val="00FA13CF"/>
    <w:rsid w:val="00FA1877"/>
    <w:rsid w:val="00FA458A"/>
    <w:rsid w:val="00FA55A8"/>
    <w:rsid w:val="00FA78A6"/>
    <w:rsid w:val="00FB1B43"/>
    <w:rsid w:val="00FB3C6E"/>
    <w:rsid w:val="00FB5B16"/>
    <w:rsid w:val="00FB671A"/>
    <w:rsid w:val="00FB6F69"/>
    <w:rsid w:val="00FC485C"/>
    <w:rsid w:val="00FC5067"/>
    <w:rsid w:val="00FC6264"/>
    <w:rsid w:val="00FC6BCD"/>
    <w:rsid w:val="00FD0E47"/>
    <w:rsid w:val="00FD2DF6"/>
    <w:rsid w:val="00FE116A"/>
    <w:rsid w:val="00FE217E"/>
    <w:rsid w:val="00FE2457"/>
    <w:rsid w:val="00FF195B"/>
    <w:rsid w:val="00FF26C1"/>
    <w:rsid w:val="00FF3BEB"/>
    <w:rsid w:val="00FF3E5D"/>
    <w:rsid w:val="00FF5D7C"/>
    <w:rsid w:val="0123A874"/>
    <w:rsid w:val="0133BB3F"/>
    <w:rsid w:val="0136E97A"/>
    <w:rsid w:val="013B4944"/>
    <w:rsid w:val="016719BD"/>
    <w:rsid w:val="01CE3A0A"/>
    <w:rsid w:val="01EFCF30"/>
    <w:rsid w:val="0225E0EB"/>
    <w:rsid w:val="023F2212"/>
    <w:rsid w:val="02421D02"/>
    <w:rsid w:val="0255040E"/>
    <w:rsid w:val="02866093"/>
    <w:rsid w:val="02A9D20C"/>
    <w:rsid w:val="02E8A27A"/>
    <w:rsid w:val="02F31AA5"/>
    <w:rsid w:val="030A66F6"/>
    <w:rsid w:val="0319EBDD"/>
    <w:rsid w:val="035FB593"/>
    <w:rsid w:val="03DA882E"/>
    <w:rsid w:val="04001F42"/>
    <w:rsid w:val="04294F27"/>
    <w:rsid w:val="044AE181"/>
    <w:rsid w:val="046E7CA1"/>
    <w:rsid w:val="0470CB69"/>
    <w:rsid w:val="049AC1DA"/>
    <w:rsid w:val="04AF894B"/>
    <w:rsid w:val="04B7EEEC"/>
    <w:rsid w:val="04BC5D9C"/>
    <w:rsid w:val="05170861"/>
    <w:rsid w:val="0529A381"/>
    <w:rsid w:val="05363730"/>
    <w:rsid w:val="053957E9"/>
    <w:rsid w:val="0586C6AE"/>
    <w:rsid w:val="0586E685"/>
    <w:rsid w:val="05E337FC"/>
    <w:rsid w:val="05FDCBE7"/>
    <w:rsid w:val="063526D8"/>
    <w:rsid w:val="06C75075"/>
    <w:rsid w:val="06CE58E5"/>
    <w:rsid w:val="079FB564"/>
    <w:rsid w:val="0801F5C7"/>
    <w:rsid w:val="08147C9D"/>
    <w:rsid w:val="08310935"/>
    <w:rsid w:val="0858227F"/>
    <w:rsid w:val="087DD5D7"/>
    <w:rsid w:val="08822E3D"/>
    <w:rsid w:val="08CA1D39"/>
    <w:rsid w:val="08DCC2E6"/>
    <w:rsid w:val="08E9F47C"/>
    <w:rsid w:val="090D12BC"/>
    <w:rsid w:val="091E4A1B"/>
    <w:rsid w:val="0929A3C6"/>
    <w:rsid w:val="0965AFAD"/>
    <w:rsid w:val="09AA5725"/>
    <w:rsid w:val="09E0252C"/>
    <w:rsid w:val="09FF799E"/>
    <w:rsid w:val="0A4719EC"/>
    <w:rsid w:val="0A6E1DD9"/>
    <w:rsid w:val="0A79468A"/>
    <w:rsid w:val="0ADFF95F"/>
    <w:rsid w:val="0B0709E9"/>
    <w:rsid w:val="0B73117E"/>
    <w:rsid w:val="0B8DAE2B"/>
    <w:rsid w:val="0BAEB4CB"/>
    <w:rsid w:val="0BB43C70"/>
    <w:rsid w:val="0BE2E05D"/>
    <w:rsid w:val="0C6A8937"/>
    <w:rsid w:val="0C7CC34F"/>
    <w:rsid w:val="0CB4776A"/>
    <w:rsid w:val="0CC3CEB4"/>
    <w:rsid w:val="0CC4734A"/>
    <w:rsid w:val="0CF84031"/>
    <w:rsid w:val="0D164473"/>
    <w:rsid w:val="0D1F511A"/>
    <w:rsid w:val="0D481988"/>
    <w:rsid w:val="0D72D172"/>
    <w:rsid w:val="0DA71FDE"/>
    <w:rsid w:val="0DBAC47D"/>
    <w:rsid w:val="0DCB7A54"/>
    <w:rsid w:val="0E176739"/>
    <w:rsid w:val="0E297BB7"/>
    <w:rsid w:val="0E3F22F9"/>
    <w:rsid w:val="0E69C83F"/>
    <w:rsid w:val="0E94E810"/>
    <w:rsid w:val="0EE2BDB8"/>
    <w:rsid w:val="0F1B8311"/>
    <w:rsid w:val="0F2353ED"/>
    <w:rsid w:val="0FD50659"/>
    <w:rsid w:val="0FDA0FEA"/>
    <w:rsid w:val="0FDD12BC"/>
    <w:rsid w:val="0FF0E729"/>
    <w:rsid w:val="100EB924"/>
    <w:rsid w:val="10C0711E"/>
    <w:rsid w:val="10D601E5"/>
    <w:rsid w:val="10D69AC2"/>
    <w:rsid w:val="112216B0"/>
    <w:rsid w:val="112BC27A"/>
    <w:rsid w:val="11417E6E"/>
    <w:rsid w:val="1146397E"/>
    <w:rsid w:val="1163F467"/>
    <w:rsid w:val="117B0D8C"/>
    <w:rsid w:val="1182211B"/>
    <w:rsid w:val="11E537DC"/>
    <w:rsid w:val="11F8E337"/>
    <w:rsid w:val="11F9BD5C"/>
    <w:rsid w:val="11FF2556"/>
    <w:rsid w:val="120B0362"/>
    <w:rsid w:val="125353A4"/>
    <w:rsid w:val="126D8C33"/>
    <w:rsid w:val="12904258"/>
    <w:rsid w:val="12B427A8"/>
    <w:rsid w:val="12E0359D"/>
    <w:rsid w:val="138704D0"/>
    <w:rsid w:val="13F95C51"/>
    <w:rsid w:val="1414FD11"/>
    <w:rsid w:val="144593D6"/>
    <w:rsid w:val="14631A2F"/>
    <w:rsid w:val="1469E35D"/>
    <w:rsid w:val="14CFEAF3"/>
    <w:rsid w:val="15155054"/>
    <w:rsid w:val="1530A9DC"/>
    <w:rsid w:val="15A308B2"/>
    <w:rsid w:val="15BFE8C7"/>
    <w:rsid w:val="15F13C9F"/>
    <w:rsid w:val="15F36ED7"/>
    <w:rsid w:val="16007AB2"/>
    <w:rsid w:val="16220B7E"/>
    <w:rsid w:val="1628698F"/>
    <w:rsid w:val="1637E367"/>
    <w:rsid w:val="16970752"/>
    <w:rsid w:val="16EE0173"/>
    <w:rsid w:val="174F47ED"/>
    <w:rsid w:val="176D27B6"/>
    <w:rsid w:val="17D776FB"/>
    <w:rsid w:val="17FF44C5"/>
    <w:rsid w:val="1812BDF7"/>
    <w:rsid w:val="181E2472"/>
    <w:rsid w:val="189F4623"/>
    <w:rsid w:val="193422AD"/>
    <w:rsid w:val="197F151F"/>
    <w:rsid w:val="198C9AE4"/>
    <w:rsid w:val="19A277FE"/>
    <w:rsid w:val="19AFE486"/>
    <w:rsid w:val="19B3164C"/>
    <w:rsid w:val="1A337354"/>
    <w:rsid w:val="1A4FC86D"/>
    <w:rsid w:val="1AA89237"/>
    <w:rsid w:val="1AE43128"/>
    <w:rsid w:val="1B487F15"/>
    <w:rsid w:val="1B6C00C4"/>
    <w:rsid w:val="1B9DCEF8"/>
    <w:rsid w:val="1BAE5C27"/>
    <w:rsid w:val="1BB776A2"/>
    <w:rsid w:val="1BE1682F"/>
    <w:rsid w:val="1C00A652"/>
    <w:rsid w:val="1C4DF02A"/>
    <w:rsid w:val="1C4EA865"/>
    <w:rsid w:val="1C5577BA"/>
    <w:rsid w:val="1C5B5A42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DF61EC7"/>
    <w:rsid w:val="1EAD8AEB"/>
    <w:rsid w:val="1EE2244B"/>
    <w:rsid w:val="1F003AB2"/>
    <w:rsid w:val="1F669F46"/>
    <w:rsid w:val="1F6AA3CD"/>
    <w:rsid w:val="1F943BE0"/>
    <w:rsid w:val="1FB4BFF8"/>
    <w:rsid w:val="1FD13ADE"/>
    <w:rsid w:val="1FEC3ED3"/>
    <w:rsid w:val="20090FAB"/>
    <w:rsid w:val="203B0065"/>
    <w:rsid w:val="203C1D8B"/>
    <w:rsid w:val="20460B71"/>
    <w:rsid w:val="206375BB"/>
    <w:rsid w:val="206EAB48"/>
    <w:rsid w:val="2090009D"/>
    <w:rsid w:val="20913B05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EF58C2"/>
    <w:rsid w:val="24F9DD8B"/>
    <w:rsid w:val="2508283E"/>
    <w:rsid w:val="255A4810"/>
    <w:rsid w:val="257858B7"/>
    <w:rsid w:val="259C3E8B"/>
    <w:rsid w:val="25CC2502"/>
    <w:rsid w:val="25DD571A"/>
    <w:rsid w:val="25EF5587"/>
    <w:rsid w:val="25F45BF3"/>
    <w:rsid w:val="26165E4D"/>
    <w:rsid w:val="26635137"/>
    <w:rsid w:val="2697F204"/>
    <w:rsid w:val="26988F5B"/>
    <w:rsid w:val="26A7AEA5"/>
    <w:rsid w:val="26F59EA5"/>
    <w:rsid w:val="27306DEE"/>
    <w:rsid w:val="27457A1B"/>
    <w:rsid w:val="275365A5"/>
    <w:rsid w:val="275B8092"/>
    <w:rsid w:val="276D5C5F"/>
    <w:rsid w:val="27BDF4B9"/>
    <w:rsid w:val="27F8683B"/>
    <w:rsid w:val="281F026C"/>
    <w:rsid w:val="2852768F"/>
    <w:rsid w:val="285636F4"/>
    <w:rsid w:val="287375A8"/>
    <w:rsid w:val="28B3C2C6"/>
    <w:rsid w:val="2903E555"/>
    <w:rsid w:val="293C5CF3"/>
    <w:rsid w:val="2940049A"/>
    <w:rsid w:val="29730318"/>
    <w:rsid w:val="299E8EE1"/>
    <w:rsid w:val="29B66E42"/>
    <w:rsid w:val="29C42E79"/>
    <w:rsid w:val="2A1E487F"/>
    <w:rsid w:val="2A3B7F34"/>
    <w:rsid w:val="2A7577AA"/>
    <w:rsid w:val="2A7C3754"/>
    <w:rsid w:val="2AF0E1DB"/>
    <w:rsid w:val="2BB92785"/>
    <w:rsid w:val="2BE1FE7D"/>
    <w:rsid w:val="2BF8BAF8"/>
    <w:rsid w:val="2C01056A"/>
    <w:rsid w:val="2C05186A"/>
    <w:rsid w:val="2C3F6BF2"/>
    <w:rsid w:val="2C652E9E"/>
    <w:rsid w:val="2D1FA190"/>
    <w:rsid w:val="2D31322C"/>
    <w:rsid w:val="2D993FCF"/>
    <w:rsid w:val="2DF2A170"/>
    <w:rsid w:val="2DFF6406"/>
    <w:rsid w:val="2EED2C96"/>
    <w:rsid w:val="2F1A63FB"/>
    <w:rsid w:val="2F5E78CC"/>
    <w:rsid w:val="2F6D5D61"/>
    <w:rsid w:val="2FB80EAC"/>
    <w:rsid w:val="2FE029D7"/>
    <w:rsid w:val="2FE8F272"/>
    <w:rsid w:val="3040EAEC"/>
    <w:rsid w:val="30498B16"/>
    <w:rsid w:val="304EE07C"/>
    <w:rsid w:val="30792A5C"/>
    <w:rsid w:val="30E12562"/>
    <w:rsid w:val="311A1DC2"/>
    <w:rsid w:val="31321328"/>
    <w:rsid w:val="31572824"/>
    <w:rsid w:val="316F2A5D"/>
    <w:rsid w:val="31800451"/>
    <w:rsid w:val="31A97165"/>
    <w:rsid w:val="31B04620"/>
    <w:rsid w:val="3214EB69"/>
    <w:rsid w:val="32893F1D"/>
    <w:rsid w:val="3291C551"/>
    <w:rsid w:val="32BEFB35"/>
    <w:rsid w:val="32D3B602"/>
    <w:rsid w:val="32D77FBB"/>
    <w:rsid w:val="32E23A8B"/>
    <w:rsid w:val="32FE0A2B"/>
    <w:rsid w:val="3314EEE9"/>
    <w:rsid w:val="331C1F78"/>
    <w:rsid w:val="331C6652"/>
    <w:rsid w:val="33687957"/>
    <w:rsid w:val="33801353"/>
    <w:rsid w:val="33A5F371"/>
    <w:rsid w:val="33A61841"/>
    <w:rsid w:val="33A85951"/>
    <w:rsid w:val="33C3163A"/>
    <w:rsid w:val="33C7A46F"/>
    <w:rsid w:val="33D758B2"/>
    <w:rsid w:val="33E16D1D"/>
    <w:rsid w:val="340D7B12"/>
    <w:rsid w:val="34174EA4"/>
    <w:rsid w:val="34B448A8"/>
    <w:rsid w:val="34BDA56C"/>
    <w:rsid w:val="34D17727"/>
    <w:rsid w:val="34F09F70"/>
    <w:rsid w:val="34F5B75A"/>
    <w:rsid w:val="34F7344A"/>
    <w:rsid w:val="3545C55B"/>
    <w:rsid w:val="3614A14D"/>
    <w:rsid w:val="363D37E7"/>
    <w:rsid w:val="365EABA5"/>
    <w:rsid w:val="36873BAC"/>
    <w:rsid w:val="36987B67"/>
    <w:rsid w:val="369D61A0"/>
    <w:rsid w:val="372907BF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241712"/>
    <w:rsid w:val="3A643167"/>
    <w:rsid w:val="3A7FFEAD"/>
    <w:rsid w:val="3A816B64"/>
    <w:rsid w:val="3A9DC011"/>
    <w:rsid w:val="3AEF8848"/>
    <w:rsid w:val="3B331C0C"/>
    <w:rsid w:val="3C223163"/>
    <w:rsid w:val="3C3976F6"/>
    <w:rsid w:val="3C55FE70"/>
    <w:rsid w:val="3CEAEC56"/>
    <w:rsid w:val="3D033860"/>
    <w:rsid w:val="3D172AF8"/>
    <w:rsid w:val="3D333187"/>
    <w:rsid w:val="3D614C3F"/>
    <w:rsid w:val="3DA9FA0C"/>
    <w:rsid w:val="3DF6B99F"/>
    <w:rsid w:val="3DFF04CC"/>
    <w:rsid w:val="3E665A15"/>
    <w:rsid w:val="3EC37C1C"/>
    <w:rsid w:val="3EC438DD"/>
    <w:rsid w:val="3EDA64DB"/>
    <w:rsid w:val="3F0062A9"/>
    <w:rsid w:val="3F057D64"/>
    <w:rsid w:val="3F075CD6"/>
    <w:rsid w:val="3F464691"/>
    <w:rsid w:val="3F5C6EF0"/>
    <w:rsid w:val="3F7D78FA"/>
    <w:rsid w:val="3F7DC741"/>
    <w:rsid w:val="3F8FB121"/>
    <w:rsid w:val="3FB3A563"/>
    <w:rsid w:val="3FB8909B"/>
    <w:rsid w:val="400B5106"/>
    <w:rsid w:val="40714F85"/>
    <w:rsid w:val="408E13E9"/>
    <w:rsid w:val="40E0B56D"/>
    <w:rsid w:val="410434E3"/>
    <w:rsid w:val="41127DA3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090C99"/>
    <w:rsid w:val="433734D0"/>
    <w:rsid w:val="43789DC5"/>
    <w:rsid w:val="4389F699"/>
    <w:rsid w:val="43BE14F3"/>
    <w:rsid w:val="43C9E4D7"/>
    <w:rsid w:val="449B0AC8"/>
    <w:rsid w:val="44C22253"/>
    <w:rsid w:val="44E81CBA"/>
    <w:rsid w:val="45387DBB"/>
    <w:rsid w:val="45780647"/>
    <w:rsid w:val="457CE95F"/>
    <w:rsid w:val="459AF1D8"/>
    <w:rsid w:val="4659F588"/>
    <w:rsid w:val="465BAEE2"/>
    <w:rsid w:val="46641F57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8101A3"/>
    <w:rsid w:val="47CD9BFE"/>
    <w:rsid w:val="48031150"/>
    <w:rsid w:val="4837AEFC"/>
    <w:rsid w:val="48496F13"/>
    <w:rsid w:val="48659B4B"/>
    <w:rsid w:val="486ACA0B"/>
    <w:rsid w:val="48823D02"/>
    <w:rsid w:val="48D0EB01"/>
    <w:rsid w:val="48F12216"/>
    <w:rsid w:val="495FB6C5"/>
    <w:rsid w:val="49E3BAEE"/>
    <w:rsid w:val="49F55AFD"/>
    <w:rsid w:val="4B157580"/>
    <w:rsid w:val="4B294DDA"/>
    <w:rsid w:val="4B6E0A3F"/>
    <w:rsid w:val="4B7B5C1B"/>
    <w:rsid w:val="4BC7EB50"/>
    <w:rsid w:val="4C1F38D0"/>
    <w:rsid w:val="4C39D31D"/>
    <w:rsid w:val="4C39DC41"/>
    <w:rsid w:val="4C8A18A8"/>
    <w:rsid w:val="4CA23096"/>
    <w:rsid w:val="4CD739A2"/>
    <w:rsid w:val="4CF34A59"/>
    <w:rsid w:val="4D4B7289"/>
    <w:rsid w:val="4D4F9915"/>
    <w:rsid w:val="4D7A7203"/>
    <w:rsid w:val="4D8F1B29"/>
    <w:rsid w:val="4DAD5CCE"/>
    <w:rsid w:val="4DC6EDBF"/>
    <w:rsid w:val="4DF653AC"/>
    <w:rsid w:val="4E0EA330"/>
    <w:rsid w:val="4E8F1833"/>
    <w:rsid w:val="4EC0CEC8"/>
    <w:rsid w:val="4ECC1858"/>
    <w:rsid w:val="4F0022F6"/>
    <w:rsid w:val="4F027E1C"/>
    <w:rsid w:val="4F0673CD"/>
    <w:rsid w:val="4F844CD5"/>
    <w:rsid w:val="4F92C941"/>
    <w:rsid w:val="4FAB2A22"/>
    <w:rsid w:val="4FE42295"/>
    <w:rsid w:val="5011B585"/>
    <w:rsid w:val="507B225C"/>
    <w:rsid w:val="508D7BB9"/>
    <w:rsid w:val="50902607"/>
    <w:rsid w:val="50A373DC"/>
    <w:rsid w:val="50B2F756"/>
    <w:rsid w:val="50CA6717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B32D08"/>
    <w:rsid w:val="53C5012B"/>
    <w:rsid w:val="5409B3C7"/>
    <w:rsid w:val="541069B8"/>
    <w:rsid w:val="5441D9F1"/>
    <w:rsid w:val="544C4768"/>
    <w:rsid w:val="545D5AF4"/>
    <w:rsid w:val="549E1CAF"/>
    <w:rsid w:val="54D72401"/>
    <w:rsid w:val="54EB1352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9C1349"/>
    <w:rsid w:val="57CF077F"/>
    <w:rsid w:val="57DA10A9"/>
    <w:rsid w:val="57F56770"/>
    <w:rsid w:val="582E27EE"/>
    <w:rsid w:val="58425533"/>
    <w:rsid w:val="58813204"/>
    <w:rsid w:val="58C13791"/>
    <w:rsid w:val="58C9DF04"/>
    <w:rsid w:val="591AD592"/>
    <w:rsid w:val="5924BC01"/>
    <w:rsid w:val="5987A165"/>
    <w:rsid w:val="59D616F9"/>
    <w:rsid w:val="59DFD067"/>
    <w:rsid w:val="5A537D1E"/>
    <w:rsid w:val="5A725F77"/>
    <w:rsid w:val="5AD0167F"/>
    <w:rsid w:val="5AE4694D"/>
    <w:rsid w:val="5B14F106"/>
    <w:rsid w:val="5B4F07ED"/>
    <w:rsid w:val="5BA266D5"/>
    <w:rsid w:val="5BA36840"/>
    <w:rsid w:val="5BCE4CB9"/>
    <w:rsid w:val="5C3F445D"/>
    <w:rsid w:val="5C4F885B"/>
    <w:rsid w:val="5C90F1DD"/>
    <w:rsid w:val="5CA86789"/>
    <w:rsid w:val="5CE92976"/>
    <w:rsid w:val="5D8E4E18"/>
    <w:rsid w:val="5D97AFCC"/>
    <w:rsid w:val="5DD79F42"/>
    <w:rsid w:val="5E1AA210"/>
    <w:rsid w:val="5E3B58D0"/>
    <w:rsid w:val="5E4965AE"/>
    <w:rsid w:val="5E600E4A"/>
    <w:rsid w:val="5EB40511"/>
    <w:rsid w:val="5ED05A63"/>
    <w:rsid w:val="5EF66468"/>
    <w:rsid w:val="5F10F09C"/>
    <w:rsid w:val="5F22EE18"/>
    <w:rsid w:val="5F497CA9"/>
    <w:rsid w:val="5F8E3006"/>
    <w:rsid w:val="5FD3EE72"/>
    <w:rsid w:val="5FE2F0E5"/>
    <w:rsid w:val="6003E10F"/>
    <w:rsid w:val="60397415"/>
    <w:rsid w:val="6088EABB"/>
    <w:rsid w:val="60982EBB"/>
    <w:rsid w:val="60AAACD8"/>
    <w:rsid w:val="60C9A08A"/>
    <w:rsid w:val="610B037B"/>
    <w:rsid w:val="611064C9"/>
    <w:rsid w:val="61A532A4"/>
    <w:rsid w:val="61A86601"/>
    <w:rsid w:val="624D56BB"/>
    <w:rsid w:val="62825078"/>
    <w:rsid w:val="62941EAA"/>
    <w:rsid w:val="62E0F9EA"/>
    <w:rsid w:val="630A2B34"/>
    <w:rsid w:val="6315689B"/>
    <w:rsid w:val="6336822A"/>
    <w:rsid w:val="639F078C"/>
    <w:rsid w:val="63A92B04"/>
    <w:rsid w:val="63AA3D03"/>
    <w:rsid w:val="63AB6995"/>
    <w:rsid w:val="63C7B84E"/>
    <w:rsid w:val="640D236B"/>
    <w:rsid w:val="641E6D96"/>
    <w:rsid w:val="64699B53"/>
    <w:rsid w:val="646C8156"/>
    <w:rsid w:val="64A82DBC"/>
    <w:rsid w:val="64BDC615"/>
    <w:rsid w:val="64D4AE20"/>
    <w:rsid w:val="64D7C3D6"/>
    <w:rsid w:val="653C1EC7"/>
    <w:rsid w:val="65468A34"/>
    <w:rsid w:val="6582978A"/>
    <w:rsid w:val="65901886"/>
    <w:rsid w:val="6590579C"/>
    <w:rsid w:val="659C909C"/>
    <w:rsid w:val="65E3B5F2"/>
    <w:rsid w:val="662B16EE"/>
    <w:rsid w:val="662B7CE7"/>
    <w:rsid w:val="663743F7"/>
    <w:rsid w:val="66396AB5"/>
    <w:rsid w:val="66B78CDF"/>
    <w:rsid w:val="66CD5922"/>
    <w:rsid w:val="66DC6D4D"/>
    <w:rsid w:val="66F48952"/>
    <w:rsid w:val="672101E2"/>
    <w:rsid w:val="674548F2"/>
    <w:rsid w:val="6751A727"/>
    <w:rsid w:val="6762C558"/>
    <w:rsid w:val="677CBA4F"/>
    <w:rsid w:val="67B8B9B5"/>
    <w:rsid w:val="67BF214C"/>
    <w:rsid w:val="67D01E1C"/>
    <w:rsid w:val="67D08986"/>
    <w:rsid w:val="681AA8BA"/>
    <w:rsid w:val="68A75577"/>
    <w:rsid w:val="68D0A54D"/>
    <w:rsid w:val="69962FCE"/>
    <w:rsid w:val="6A1707C7"/>
    <w:rsid w:val="6A2B45C1"/>
    <w:rsid w:val="6A5D6CA8"/>
    <w:rsid w:val="6A70612A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DE24C48"/>
    <w:rsid w:val="6E453429"/>
    <w:rsid w:val="6E883A01"/>
    <w:rsid w:val="6EE12FE3"/>
    <w:rsid w:val="6F0E7CBF"/>
    <w:rsid w:val="6F2E6FF4"/>
    <w:rsid w:val="6F6F361E"/>
    <w:rsid w:val="6F92269E"/>
    <w:rsid w:val="6FEF7AF1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866EFE"/>
    <w:rsid w:val="71D40D4C"/>
    <w:rsid w:val="71F59984"/>
    <w:rsid w:val="7214A937"/>
    <w:rsid w:val="722CCA10"/>
    <w:rsid w:val="723661E2"/>
    <w:rsid w:val="7242215A"/>
    <w:rsid w:val="72577269"/>
    <w:rsid w:val="725AC5DC"/>
    <w:rsid w:val="727367B7"/>
    <w:rsid w:val="72FC57A8"/>
    <w:rsid w:val="72FC71B0"/>
    <w:rsid w:val="7306587D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654669"/>
    <w:rsid w:val="7681AF25"/>
    <w:rsid w:val="76FEC164"/>
    <w:rsid w:val="76FF27F8"/>
    <w:rsid w:val="773B07C7"/>
    <w:rsid w:val="774D6E24"/>
    <w:rsid w:val="77996CC0"/>
    <w:rsid w:val="77C4BD1A"/>
    <w:rsid w:val="783764D9"/>
    <w:rsid w:val="78652655"/>
    <w:rsid w:val="788259A6"/>
    <w:rsid w:val="788EED21"/>
    <w:rsid w:val="78A6EFD5"/>
    <w:rsid w:val="78AD90CA"/>
    <w:rsid w:val="78CFBC31"/>
    <w:rsid w:val="78D458D5"/>
    <w:rsid w:val="78E86FF2"/>
    <w:rsid w:val="78FD502C"/>
    <w:rsid w:val="78FE7B79"/>
    <w:rsid w:val="790C1232"/>
    <w:rsid w:val="79141FFE"/>
    <w:rsid w:val="7979C4D9"/>
    <w:rsid w:val="797C6F1C"/>
    <w:rsid w:val="79853E8A"/>
    <w:rsid w:val="7988FCDB"/>
    <w:rsid w:val="79B40A9D"/>
    <w:rsid w:val="79B967DF"/>
    <w:rsid w:val="79CDEE57"/>
    <w:rsid w:val="7A318D99"/>
    <w:rsid w:val="7A60E508"/>
    <w:rsid w:val="7A9BED0F"/>
    <w:rsid w:val="7B29BE38"/>
    <w:rsid w:val="7B415255"/>
    <w:rsid w:val="7B734558"/>
    <w:rsid w:val="7B77F165"/>
    <w:rsid w:val="7BAA092E"/>
    <w:rsid w:val="7BB9E510"/>
    <w:rsid w:val="7BCA6F39"/>
    <w:rsid w:val="7BE40725"/>
    <w:rsid w:val="7BFF2E69"/>
    <w:rsid w:val="7C38C02B"/>
    <w:rsid w:val="7CA3413D"/>
    <w:rsid w:val="7CD4B096"/>
    <w:rsid w:val="7D2A6F19"/>
    <w:rsid w:val="7D2F7ECF"/>
    <w:rsid w:val="7D4247CA"/>
    <w:rsid w:val="7D8705EA"/>
    <w:rsid w:val="7E302BAB"/>
    <w:rsid w:val="7E503E50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99" w:name="List 2"/>
    <w:lsdException w:qFormat="1" w:unhideWhenUsed="0" w:uiPriority="0" w:semiHidden="0" w:name="List 3"/>
    <w:lsdException w:uiPriority="99" w:name="List 4"/>
    <w:lsdException w:uiPriority="99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99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82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2"/>
    <w:basedOn w:val="1"/>
    <w:next w:val="1"/>
    <w:link w:val="84"/>
    <w:autoRedefine/>
    <w:unhideWhenUsed/>
    <w:qFormat/>
    <w:uiPriority w:val="9"/>
    <w:pPr>
      <w:keepNext/>
      <w:keepLines/>
      <w:numPr>
        <w:ilvl w:val="1"/>
        <w:numId w:val="1"/>
      </w:numPr>
      <w:spacing w:before="240" w:after="120" w:afterLines="50"/>
      <w:jc w:val="both"/>
      <w:outlineLvl w:val="1"/>
    </w:pPr>
    <w:rPr>
      <w:rFonts w:ascii="Times New Roman" w:hAnsi="Times New Roman" w:cs="Times New Roman"/>
      <w:b/>
      <w:bCs/>
      <w:lang w:val="en-GB" w:eastAsia="zh-CN"/>
    </w:rPr>
  </w:style>
  <w:style w:type="paragraph" w:styleId="5">
    <w:name w:val="heading 3"/>
    <w:basedOn w:val="1"/>
    <w:next w:val="1"/>
    <w:link w:val="108"/>
    <w:autoRedefine/>
    <w:qFormat/>
    <w:uiPriority w:val="9"/>
    <w:pPr>
      <w:keepNext/>
      <w:spacing w:before="100" w:beforeAutospacing="1" w:after="100" w:afterAutospacing="1" w:line="240" w:lineRule="auto"/>
      <w:ind w:left="6957" w:hanging="720"/>
      <w:outlineLvl w:val="2"/>
    </w:pPr>
    <w:rPr>
      <w:rFonts w:ascii="Arial" w:hAnsi="Arial" w:eastAsia="Arial" w:cs="Arial"/>
      <w:b/>
      <w:sz w:val="21"/>
      <w:szCs w:val="20"/>
      <w:lang w:val="en-GB" w:eastAsia="zh-CN"/>
    </w:rPr>
  </w:style>
  <w:style w:type="paragraph" w:styleId="6">
    <w:name w:val="heading 4"/>
    <w:basedOn w:val="1"/>
    <w:next w:val="1"/>
    <w:link w:val="109"/>
    <w:autoRedefine/>
    <w:qFormat/>
    <w:uiPriority w:val="9"/>
    <w:pPr>
      <w:keepNext/>
      <w:spacing w:before="100" w:beforeAutospacing="1" w:after="100" w:afterAutospacing="1" w:line="240" w:lineRule="auto"/>
      <w:ind w:left="1080" w:right="180" w:rightChars="100" w:hanging="1080"/>
      <w:contextualSpacing/>
      <w:outlineLvl w:val="3"/>
    </w:pPr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paragraph" w:styleId="7">
    <w:name w:val="heading 5"/>
    <w:basedOn w:val="1"/>
    <w:next w:val="1"/>
    <w:link w:val="110"/>
    <w:qFormat/>
    <w:uiPriority w:val="0"/>
    <w:pPr>
      <w:spacing w:before="240" w:beforeAutospacing="1" w:after="60" w:line="240" w:lineRule="auto"/>
      <w:contextualSpacing/>
      <w:outlineLvl w:val="4"/>
    </w:pPr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paragraph" w:styleId="8">
    <w:name w:val="heading 6"/>
    <w:basedOn w:val="1"/>
    <w:next w:val="1"/>
    <w:link w:val="111"/>
    <w:qFormat/>
    <w:uiPriority w:val="0"/>
    <w:pPr>
      <w:spacing w:before="240" w:beforeAutospacing="1" w:after="60" w:line="240" w:lineRule="auto"/>
      <w:contextualSpacing/>
      <w:outlineLvl w:val="5"/>
    </w:pPr>
    <w:rPr>
      <w:rFonts w:ascii="Times New Roman" w:hAnsi="Times New Roman" w:eastAsia="Arial" w:cs="Times New Roman"/>
      <w:i/>
      <w:szCs w:val="20"/>
      <w:lang w:val="en-GB" w:eastAsia="zh-CN"/>
    </w:rPr>
  </w:style>
  <w:style w:type="paragraph" w:styleId="9">
    <w:name w:val="heading 7"/>
    <w:basedOn w:val="1"/>
    <w:next w:val="1"/>
    <w:link w:val="112"/>
    <w:qFormat/>
    <w:uiPriority w:val="0"/>
    <w:pPr>
      <w:spacing w:before="240" w:beforeAutospacing="1" w:after="60" w:line="240" w:lineRule="auto"/>
      <w:contextualSpacing/>
      <w:outlineLvl w:val="6"/>
    </w:pPr>
    <w:rPr>
      <w:rFonts w:ascii="Times New Roman" w:hAnsi="Times New Roman" w:eastAsia="Arial" w:cs="Times New Roman"/>
      <w:sz w:val="20"/>
      <w:szCs w:val="20"/>
      <w:lang w:val="en-GB" w:eastAsia="zh-CN"/>
    </w:rPr>
  </w:style>
  <w:style w:type="paragraph" w:styleId="10">
    <w:name w:val="heading 8"/>
    <w:basedOn w:val="1"/>
    <w:next w:val="1"/>
    <w:link w:val="113"/>
    <w:qFormat/>
    <w:uiPriority w:val="9"/>
    <w:pPr>
      <w:spacing w:before="240" w:beforeAutospacing="1" w:after="60" w:line="240" w:lineRule="auto"/>
      <w:contextualSpacing/>
      <w:outlineLvl w:val="7"/>
    </w:pPr>
    <w:rPr>
      <w:rFonts w:ascii="Times New Roman" w:hAnsi="Times New Roman" w:eastAsia="Arial" w:cs="Times New Roman"/>
      <w:i/>
      <w:sz w:val="20"/>
      <w:szCs w:val="20"/>
      <w:lang w:val="en-GB" w:eastAsia="zh-CN"/>
    </w:rPr>
  </w:style>
  <w:style w:type="paragraph" w:styleId="11">
    <w:name w:val="heading 9"/>
    <w:basedOn w:val="1"/>
    <w:next w:val="1"/>
    <w:link w:val="114"/>
    <w:qFormat/>
    <w:uiPriority w:val="0"/>
    <w:pPr>
      <w:spacing w:before="240" w:beforeAutospacing="1" w:after="60" w:line="240" w:lineRule="auto"/>
      <w:contextualSpacing/>
      <w:outlineLvl w:val="8"/>
    </w:pPr>
    <w:rPr>
      <w:rFonts w:ascii="Times New Roman" w:hAnsi="Times New Roman" w:eastAsia="Arial" w:cs="Times New Roman"/>
      <w:b/>
      <w:i/>
      <w:sz w:val="18"/>
      <w:szCs w:val="20"/>
      <w:lang w:val="en-GB" w:eastAsia="zh-CN"/>
    </w:rPr>
  </w:style>
  <w:style w:type="character" w:default="1" w:styleId="71">
    <w:name w:val="Default Paragraph Font"/>
    <w:unhideWhenUsed/>
    <w:qFormat/>
    <w:uiPriority w:val="1"/>
  </w:style>
  <w:style w:type="table" w:default="1" w:styleId="6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Times New Roman" w:cs="Times New Roman"/>
      <w:sz w:val="18"/>
      <w:lang w:val="en-US" w:eastAsia="en-US" w:bidi="ar-SA"/>
    </w:rPr>
  </w:style>
  <w:style w:type="paragraph" w:styleId="12">
    <w:name w:val="List 3"/>
    <w:basedOn w:val="1"/>
    <w:qFormat/>
    <w:uiPriority w:val="0"/>
    <w:pPr>
      <w:spacing w:before="100" w:beforeAutospacing="1" w:after="0" w:line="240" w:lineRule="auto"/>
      <w:ind w:left="849" w:hanging="283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3">
    <w:name w:val="toc 7"/>
    <w:basedOn w:val="1"/>
    <w:next w:val="14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504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4">
    <w:name w:val="toc 8"/>
    <w:basedOn w:val="1"/>
    <w:next w:val="15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576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5">
    <w:name w:val="toc 9"/>
    <w:basedOn w:val="1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648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6">
    <w:name w:val="List Number 2"/>
    <w:basedOn w:val="1"/>
    <w:qFormat/>
    <w:uiPriority w:val="0"/>
    <w:pPr>
      <w:numPr>
        <w:ilvl w:val="0"/>
        <w:numId w:val="2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7">
    <w:name w:val="table of authorities"/>
    <w:basedOn w:val="1"/>
    <w:next w:val="1"/>
    <w:qFormat/>
    <w:uiPriority w:val="0"/>
    <w:pPr>
      <w:widowControl w:val="0"/>
      <w:tabs>
        <w:tab w:val="right" w:leader="dot" w:pos="9216"/>
      </w:tabs>
      <w:spacing w:before="100" w:beforeAutospacing="1" w:after="120" w:line="240" w:lineRule="exact"/>
      <w:ind w:left="360" w:right="1440" w:hanging="36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8">
    <w:name w:val="List Bullet 4"/>
    <w:basedOn w:val="1"/>
    <w:qFormat/>
    <w:uiPriority w:val="0"/>
    <w:pPr>
      <w:numPr>
        <w:ilvl w:val="0"/>
        <w:numId w:val="3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9">
    <w:name w:val="index 8"/>
    <w:basedOn w:val="1"/>
    <w:next w:val="1"/>
    <w:qFormat/>
    <w:uiPriority w:val="0"/>
    <w:pPr>
      <w:spacing w:before="100" w:beforeAutospacing="1" w:after="0" w:line="240" w:lineRule="auto"/>
      <w:ind w:left="192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0">
    <w:name w:val="List Number"/>
    <w:basedOn w:val="1"/>
    <w:qFormat/>
    <w:uiPriority w:val="0"/>
    <w:pPr>
      <w:numPr>
        <w:ilvl w:val="0"/>
        <w:numId w:val="4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1">
    <w:name w:val="caption"/>
    <w:basedOn w:val="1"/>
    <w:next w:val="1"/>
    <w:link w:val="141"/>
    <w:qFormat/>
    <w:uiPriority w:val="0"/>
    <w:pPr>
      <w:spacing w:before="120" w:beforeAutospacing="1" w:after="120" w:line="240" w:lineRule="auto"/>
      <w:contextualSpacing/>
    </w:pPr>
    <w:rPr>
      <w:rFonts w:ascii="Times New Roman" w:hAnsi="Times New Roman" w:eastAsia="Arial" w:cs="Times New Roman"/>
      <w:b/>
      <w:bCs/>
      <w:sz w:val="20"/>
      <w:szCs w:val="20"/>
      <w:lang w:val="en-GB" w:eastAsia="zh-CN"/>
    </w:rPr>
  </w:style>
  <w:style w:type="paragraph" w:styleId="22">
    <w:name w:val="index 5"/>
    <w:basedOn w:val="1"/>
    <w:next w:val="1"/>
    <w:qFormat/>
    <w:uiPriority w:val="0"/>
    <w:pPr>
      <w:spacing w:before="100" w:beforeAutospacing="1" w:after="0" w:line="240" w:lineRule="auto"/>
      <w:ind w:left="120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3">
    <w:name w:val="List Bullet"/>
    <w:basedOn w:val="1"/>
    <w:qFormat/>
    <w:uiPriority w:val="0"/>
    <w:pPr>
      <w:numPr>
        <w:ilvl w:val="0"/>
        <w:numId w:val="5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4">
    <w:name w:val="envelope address"/>
    <w:basedOn w:val="1"/>
    <w:qFormat/>
    <w:uiPriority w:val="0"/>
    <w:pPr>
      <w:framePr w:w="5760" w:h="2160" w:hRule="exact" w:wrap="around" w:vAnchor="page" w:hAnchor="page" w:x="6481" w:y="3068"/>
      <w:spacing w:before="100" w:beforeAutospacing="1" w:after="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5">
    <w:name w:val="Document Map"/>
    <w:basedOn w:val="1"/>
    <w:link w:val="134"/>
    <w:qFormat/>
    <w:uiPriority w:val="0"/>
    <w:pPr>
      <w:shd w:val="clear" w:color="auto" w:fill="000080"/>
      <w:spacing w:before="100" w:beforeAutospacing="1" w:after="0" w:line="240" w:lineRule="auto"/>
      <w:contextualSpacing/>
    </w:pPr>
    <w:rPr>
      <w:rFonts w:ascii="Tahoma" w:hAnsi="Tahoma" w:eastAsia="Arial" w:cs="Tahoma"/>
      <w:sz w:val="18"/>
      <w:szCs w:val="20"/>
      <w:lang w:val="en-GB" w:eastAsia="zh-CN"/>
    </w:rPr>
  </w:style>
  <w:style w:type="paragraph" w:styleId="26">
    <w:name w:val="toa heading"/>
    <w:basedOn w:val="1"/>
    <w:next w:val="17"/>
    <w:qFormat/>
    <w:uiPriority w:val="0"/>
    <w:pPr>
      <w:keepNext/>
      <w:widowControl w:val="0"/>
      <w:spacing w:before="120" w:beforeAutospacing="1" w:after="120" w:line="240" w:lineRule="exact"/>
      <w:contextualSpacing/>
      <w:jc w:val="center"/>
    </w:pPr>
    <w:rPr>
      <w:rFonts w:ascii="Times New Roman" w:hAnsi="Times New Roman" w:eastAsia="Arial" w:cs="Times New Roman"/>
      <w:b/>
      <w:caps/>
      <w:sz w:val="18"/>
      <w:szCs w:val="20"/>
      <w:lang w:val="en-GB" w:eastAsia="zh-CN"/>
    </w:rPr>
  </w:style>
  <w:style w:type="paragraph" w:styleId="27">
    <w:name w:val="annotation text"/>
    <w:basedOn w:val="1"/>
    <w:link w:val="103"/>
    <w:unhideWhenUsed/>
    <w:qFormat/>
    <w:uiPriority w:val="0"/>
  </w:style>
  <w:style w:type="paragraph" w:styleId="28">
    <w:name w:val="index 6"/>
    <w:basedOn w:val="1"/>
    <w:next w:val="1"/>
    <w:qFormat/>
    <w:uiPriority w:val="0"/>
    <w:pPr>
      <w:spacing w:before="100" w:beforeAutospacing="1" w:after="0" w:line="240" w:lineRule="auto"/>
      <w:ind w:left="144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9">
    <w:name w:val="List Bullet 3"/>
    <w:basedOn w:val="1"/>
    <w:qFormat/>
    <w:uiPriority w:val="0"/>
    <w:pPr>
      <w:numPr>
        <w:ilvl w:val="0"/>
        <w:numId w:val="6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0">
    <w:name w:val="Body Text"/>
    <w:basedOn w:val="1"/>
    <w:link w:val="93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paragraph" w:styleId="31">
    <w:name w:val="Body Text Indent"/>
    <w:basedOn w:val="1"/>
    <w:next w:val="30"/>
    <w:link w:val="119"/>
    <w:autoRedefine/>
    <w:qFormat/>
    <w:uiPriority w:val="0"/>
    <w:pPr>
      <w:spacing w:before="100" w:beforeAutospacing="1" w:after="240" w:line="24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2">
    <w:name w:val="List Number 3"/>
    <w:basedOn w:val="1"/>
    <w:qFormat/>
    <w:uiPriority w:val="0"/>
    <w:pPr>
      <w:numPr>
        <w:ilvl w:val="0"/>
        <w:numId w:val="7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3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34">
    <w:name w:val="Block Text"/>
    <w:basedOn w:val="1"/>
    <w:qFormat/>
    <w:uiPriority w:val="0"/>
    <w:pPr>
      <w:spacing w:before="100" w:beforeAutospacing="1" w:after="120" w:line="240" w:lineRule="auto"/>
      <w:ind w:left="1440" w:righ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5">
    <w:name w:val="List Bullet 2"/>
    <w:basedOn w:val="1"/>
    <w:qFormat/>
    <w:uiPriority w:val="0"/>
    <w:pPr>
      <w:numPr>
        <w:ilvl w:val="0"/>
        <w:numId w:val="8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6">
    <w:name w:val="index 4"/>
    <w:basedOn w:val="1"/>
    <w:next w:val="1"/>
    <w:qFormat/>
    <w:uiPriority w:val="0"/>
    <w:pPr>
      <w:spacing w:before="100" w:beforeAutospacing="1" w:after="0" w:line="240" w:lineRule="auto"/>
      <w:ind w:left="96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7">
    <w:name w:val="toc 5"/>
    <w:basedOn w:val="1"/>
    <w:next w:val="38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360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8">
    <w:name w:val="toc 6"/>
    <w:basedOn w:val="1"/>
    <w:next w:val="13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432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9">
    <w:name w:val="toc 3"/>
    <w:basedOn w:val="1"/>
    <w:next w:val="40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216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0">
    <w:name w:val="toc 4"/>
    <w:basedOn w:val="1"/>
    <w:next w:val="37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288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1">
    <w:name w:val="List Bullet 5"/>
    <w:basedOn w:val="1"/>
    <w:qFormat/>
    <w:uiPriority w:val="0"/>
    <w:pPr>
      <w:numPr>
        <w:ilvl w:val="0"/>
        <w:numId w:val="9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2">
    <w:name w:val="List Number 4"/>
    <w:basedOn w:val="1"/>
    <w:qFormat/>
    <w:uiPriority w:val="0"/>
    <w:pPr>
      <w:numPr>
        <w:ilvl w:val="0"/>
        <w:numId w:val="10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3">
    <w:name w:val="index 3"/>
    <w:basedOn w:val="1"/>
    <w:next w:val="1"/>
    <w:qFormat/>
    <w:uiPriority w:val="0"/>
    <w:pPr>
      <w:spacing w:before="100" w:beforeAutospacing="1" w:after="0" w:line="240" w:lineRule="auto"/>
      <w:ind w:left="72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4">
    <w:name w:val="Date"/>
    <w:basedOn w:val="1"/>
    <w:next w:val="1"/>
    <w:link w:val="126"/>
    <w:qFormat/>
    <w:uiPriority w:val="0"/>
    <w:p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5">
    <w:name w:val="Body Text Indent 2"/>
    <w:basedOn w:val="1"/>
    <w:link w:val="123"/>
    <w:autoRedefine/>
    <w:qFormat/>
    <w:uiPriority w:val="0"/>
    <w:pPr>
      <w:spacing w:before="100" w:beforeAutospacing="1" w:after="240" w:line="48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6">
    <w:name w:val="endnote text"/>
    <w:basedOn w:val="1"/>
    <w:link w:val="135"/>
    <w:qFormat/>
    <w:uiPriority w:val="0"/>
    <w:pPr>
      <w:spacing w:before="100" w:beforeAutospacing="1" w:after="0" w:line="240" w:lineRule="auto"/>
      <w:contextualSpacing/>
    </w:pPr>
    <w:rPr>
      <w:rFonts w:ascii="Times New Roman" w:hAnsi="Times New Roman" w:eastAsia="Arial" w:cs="Times New Roman"/>
      <w:sz w:val="20"/>
      <w:szCs w:val="20"/>
      <w:lang w:val="en-GB" w:eastAsia="zh-CN"/>
    </w:rPr>
  </w:style>
  <w:style w:type="paragraph" w:styleId="47">
    <w:name w:val="Balloon Text"/>
    <w:basedOn w:val="1"/>
    <w:link w:val="98"/>
    <w:unhideWhenUsed/>
    <w:qFormat/>
    <w:uiPriority w:val="0"/>
    <w:pPr>
      <w:spacing w:after="0" w:line="240" w:lineRule="auto"/>
    </w:pPr>
    <w:rPr>
      <w:sz w:val="18"/>
      <w:szCs w:val="18"/>
    </w:rPr>
  </w:style>
  <w:style w:type="paragraph" w:styleId="48">
    <w:name w:val="footer"/>
    <w:basedOn w:val="1"/>
    <w:link w:val="9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9">
    <w:name w:val="header"/>
    <w:basedOn w:val="1"/>
    <w:link w:val="88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</w:rPr>
  </w:style>
  <w:style w:type="paragraph" w:styleId="50">
    <w:name w:val="Signature"/>
    <w:basedOn w:val="1"/>
    <w:next w:val="30"/>
    <w:link w:val="131"/>
    <w:qFormat/>
    <w:uiPriority w:val="0"/>
    <w:pPr>
      <w:keepLines/>
      <w:tabs>
        <w:tab w:val="right" w:leader="underscore" w:pos="8640"/>
      </w:tabs>
      <w:spacing w:before="100" w:beforeAutospacing="1" w:after="240" w:line="240" w:lineRule="auto"/>
      <w:ind w:left="43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1">
    <w:name w:val="toc 1"/>
    <w:basedOn w:val="1"/>
    <w:next w:val="52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72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2">
    <w:name w:val="toc 2"/>
    <w:basedOn w:val="1"/>
    <w:next w:val="39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144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3">
    <w:name w:val="index heading"/>
    <w:basedOn w:val="1"/>
    <w:next w:val="54"/>
    <w:qFormat/>
    <w:uiPriority w:val="0"/>
    <w:pPr>
      <w:spacing w:before="100" w:beforeAutospacing="1" w:after="0" w:line="240" w:lineRule="auto"/>
      <w:contextualSpacing/>
    </w:pPr>
    <w:rPr>
      <w:rFonts w:ascii="Times New Roman" w:hAnsi="Times New Roman" w:eastAsia="Arial" w:cs="Times New Roman"/>
      <w:b/>
      <w:sz w:val="18"/>
      <w:szCs w:val="20"/>
      <w:lang w:val="en-GB" w:eastAsia="zh-CN"/>
    </w:rPr>
  </w:style>
  <w:style w:type="paragraph" w:styleId="54">
    <w:name w:val="index 1"/>
    <w:basedOn w:val="1"/>
    <w:next w:val="1"/>
    <w:qFormat/>
    <w:uiPriority w:val="0"/>
    <w:pPr>
      <w:spacing w:before="100" w:beforeAutospacing="1" w:after="0" w:line="240" w:lineRule="auto"/>
      <w:ind w:left="24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5">
    <w:name w:val="Subtitle"/>
    <w:basedOn w:val="1"/>
    <w:next w:val="30"/>
    <w:link w:val="132"/>
    <w:qFormat/>
    <w:uiPriority w:val="0"/>
    <w:pPr>
      <w:spacing w:before="100" w:beforeAutospacing="1" w:after="240" w:line="240" w:lineRule="auto"/>
      <w:contextualSpacing/>
      <w:jc w:val="center"/>
      <w:outlineLvl w:val="1"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6">
    <w:name w:val="List Number 5"/>
    <w:basedOn w:val="1"/>
    <w:qFormat/>
    <w:uiPriority w:val="0"/>
    <w:pPr>
      <w:numPr>
        <w:ilvl w:val="0"/>
        <w:numId w:val="11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58">
    <w:name w:val="footnote text"/>
    <w:basedOn w:val="1"/>
    <w:link w:val="129"/>
    <w:qFormat/>
    <w:uiPriority w:val="0"/>
    <w:pPr>
      <w:spacing w:before="100" w:beforeAutospacing="1" w:after="12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9">
    <w:name w:val="index 7"/>
    <w:basedOn w:val="1"/>
    <w:next w:val="1"/>
    <w:qFormat/>
    <w:uiPriority w:val="0"/>
    <w:pPr>
      <w:spacing w:before="100" w:beforeAutospacing="1" w:after="0" w:line="240" w:lineRule="auto"/>
      <w:ind w:left="168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0">
    <w:name w:val="index 9"/>
    <w:basedOn w:val="1"/>
    <w:next w:val="1"/>
    <w:qFormat/>
    <w:uiPriority w:val="0"/>
    <w:pPr>
      <w:spacing w:before="100" w:beforeAutospacing="1" w:after="0" w:line="240" w:lineRule="auto"/>
      <w:ind w:left="216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1">
    <w:name w:val="table of figures"/>
    <w:basedOn w:val="1"/>
    <w:next w:val="1"/>
    <w:qFormat/>
    <w:uiPriority w:val="0"/>
    <w:pPr>
      <w:spacing w:before="100" w:beforeAutospacing="1" w:after="0" w:line="240" w:lineRule="auto"/>
      <w:ind w:left="480" w:hanging="48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2">
    <w:name w:val="Body Text 2"/>
    <w:basedOn w:val="1"/>
    <w:link w:val="118"/>
    <w:qFormat/>
    <w:uiPriority w:val="0"/>
    <w:pPr>
      <w:spacing w:before="100" w:beforeAutospacing="1" w:after="240" w:line="48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contextualSpacing/>
    </w:pPr>
    <w:rPr>
      <w:rFonts w:ascii="Times New Roman" w:hAnsi="Times New Roman" w:eastAsia="Times New Roman" w:cs="Times New Roman"/>
      <w:sz w:val="18"/>
      <w:szCs w:val="24"/>
      <w:lang w:val="en-GB"/>
    </w:rPr>
  </w:style>
  <w:style w:type="paragraph" w:styleId="64">
    <w:name w:val="index 2"/>
    <w:basedOn w:val="1"/>
    <w:next w:val="1"/>
    <w:qFormat/>
    <w:uiPriority w:val="0"/>
    <w:pPr>
      <w:spacing w:before="100" w:beforeAutospacing="1" w:after="0" w:line="240" w:lineRule="auto"/>
      <w:ind w:left="48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5">
    <w:name w:val="Title"/>
    <w:basedOn w:val="1"/>
    <w:next w:val="30"/>
    <w:link w:val="133"/>
    <w:qFormat/>
    <w:uiPriority w:val="10"/>
    <w:pPr>
      <w:keepNext/>
      <w:spacing w:before="100" w:beforeAutospacing="1" w:after="240" w:line="240" w:lineRule="auto"/>
      <w:contextualSpacing/>
      <w:jc w:val="center"/>
    </w:pPr>
    <w:rPr>
      <w:rFonts w:ascii="Times New Roman" w:hAnsi="Times New Roman" w:eastAsia="Arial" w:cs="Times New Roman"/>
      <w:b/>
      <w:kern w:val="28"/>
      <w:sz w:val="18"/>
      <w:szCs w:val="20"/>
      <w:lang w:val="en-GB" w:eastAsia="zh-CN"/>
    </w:rPr>
  </w:style>
  <w:style w:type="paragraph" w:styleId="66">
    <w:name w:val="annotation subject"/>
    <w:basedOn w:val="27"/>
    <w:next w:val="27"/>
    <w:link w:val="104"/>
    <w:unhideWhenUsed/>
    <w:qFormat/>
    <w:uiPriority w:val="0"/>
    <w:rPr>
      <w:b/>
      <w:bCs/>
    </w:rPr>
  </w:style>
  <w:style w:type="paragraph" w:styleId="67">
    <w:name w:val="Body Text First Indent"/>
    <w:basedOn w:val="1"/>
    <w:link w:val="121"/>
    <w:autoRedefine/>
    <w:qFormat/>
    <w:uiPriority w:val="0"/>
    <w:pPr>
      <w:spacing w:before="100" w:beforeAutospacing="1" w:after="240" w:line="240" w:lineRule="auto"/>
      <w:ind w:firstLine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8">
    <w:name w:val="Body Text First Indent 2"/>
    <w:basedOn w:val="1"/>
    <w:link w:val="120"/>
    <w:autoRedefine/>
    <w:qFormat/>
    <w:uiPriority w:val="0"/>
    <w:pPr>
      <w:spacing w:before="100" w:beforeAutospacing="1" w:after="240" w:line="480" w:lineRule="auto"/>
      <w:ind w:firstLine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table" w:styleId="70">
    <w:name w:val="Table Grid"/>
    <w:basedOn w:val="69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2">
    <w:name w:val="Strong"/>
    <w:qFormat/>
    <w:uiPriority w:val="22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  <w:rPr>
      <w:sz w:val="24"/>
    </w:rPr>
  </w:style>
  <w:style w:type="character" w:styleId="75">
    <w:name w:val="FollowedHyperlink"/>
    <w:basedOn w:val="7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6">
    <w:name w:val="Emphasis"/>
    <w:basedOn w:val="71"/>
    <w:qFormat/>
    <w:uiPriority w:val="20"/>
  </w:style>
  <w:style w:type="character" w:styleId="77">
    <w:name w:val="Hyperlink"/>
    <w:qFormat/>
    <w:uiPriority w:val="99"/>
    <w:rPr>
      <w:color w:val="0000FF"/>
      <w:u w:val="single"/>
    </w:rPr>
  </w:style>
  <w:style w:type="character" w:styleId="78">
    <w:name w:val="annotation reference"/>
    <w:basedOn w:val="71"/>
    <w:unhideWhenUsed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vertAlign w:val="superscript"/>
    </w:rPr>
  </w:style>
  <w:style w:type="paragraph" w:styleId="80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table" w:customStyle="1" w:styleId="81">
    <w:name w:val="无格式表格 41"/>
    <w:basedOn w:val="6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2">
    <w:name w:val="标题 1 字符"/>
    <w:basedOn w:val="71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83">
    <w:name w:val="List Paragraph"/>
    <w:basedOn w:val="1"/>
    <w:link w:val="100"/>
    <w:autoRedefine/>
    <w:qFormat/>
    <w:uiPriority w:val="34"/>
    <w:pPr>
      <w:numPr>
        <w:ilvl w:val="0"/>
        <w:numId w:val="12"/>
      </w:numPr>
      <w:contextualSpacing/>
      <w:jc w:val="both"/>
    </w:pPr>
    <w:rPr>
      <w:rFonts w:ascii="Times New Roman" w:hAnsi="Times New Roman" w:cs="Times New Roman"/>
      <w:b/>
      <w:bCs/>
      <w:i/>
      <w:iCs/>
      <w:lang w:eastAsia="zh-CN"/>
    </w:rPr>
  </w:style>
  <w:style w:type="character" w:customStyle="1" w:styleId="84">
    <w:name w:val="标题 2 字符"/>
    <w:basedOn w:val="71"/>
    <w:link w:val="4"/>
    <w:qFormat/>
    <w:uiPriority w:val="9"/>
    <w:rPr>
      <w:rFonts w:eastAsiaTheme="minorEastAsia"/>
      <w:b/>
      <w:bCs/>
      <w:sz w:val="22"/>
      <w:szCs w:val="22"/>
      <w:lang w:val="en-GB"/>
    </w:rPr>
  </w:style>
  <w:style w:type="character" w:customStyle="1" w:styleId="85">
    <w:name w:val="@他1"/>
    <w:basedOn w:val="71"/>
    <w:unhideWhenUsed/>
    <w:qFormat/>
    <w:uiPriority w:val="99"/>
    <w:rPr>
      <w:color w:val="2B579A"/>
      <w:shd w:val="clear" w:color="auto" w:fill="E6E6E6"/>
    </w:rPr>
  </w:style>
  <w:style w:type="character" w:customStyle="1" w:styleId="86">
    <w:name w:val="fontstyle01"/>
    <w:basedOn w:val="7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87">
    <w:name w:val="fontstyle21"/>
    <w:basedOn w:val="7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88">
    <w:name w:val="页眉 字符1"/>
    <w:link w:val="49"/>
    <w:qFormat/>
    <w:uiPriority w:val="99"/>
    <w:rPr>
      <w:rFonts w:ascii="Arial" w:hAnsi="Arial" w:eastAsia="MS Mincho"/>
      <w:b/>
      <w:szCs w:val="24"/>
    </w:rPr>
  </w:style>
  <w:style w:type="character" w:customStyle="1" w:styleId="89">
    <w:name w:val="页眉 字符"/>
    <w:basedOn w:val="71"/>
    <w:qFormat/>
    <w:uiPriority w:val="99"/>
    <w:rPr>
      <w:sz w:val="18"/>
      <w:szCs w:val="18"/>
    </w:rPr>
  </w:style>
  <w:style w:type="character" w:customStyle="1" w:styleId="90">
    <w:name w:val="标题 1 Char"/>
    <w:qFormat/>
    <w:uiPriority w:val="0"/>
    <w:rPr>
      <w:rFonts w:ascii="Arial" w:hAnsi="Arial" w:eastAsia="黑体"/>
      <w:b/>
      <w:bCs/>
      <w:sz w:val="30"/>
      <w:szCs w:val="30"/>
      <w:lang w:val="zh-CN" w:eastAsia="en-US"/>
    </w:rPr>
  </w:style>
  <w:style w:type="character" w:customStyle="1" w:styleId="91">
    <w:name w:val="B1 (文字)"/>
    <w:link w:val="92"/>
    <w:qFormat/>
    <w:locked/>
    <w:uiPriority w:val="0"/>
    <w:rPr>
      <w:rFonts w:ascii="Times New Roman" w:hAnsi="Times New Roman" w:eastAsia="宋体"/>
      <w:lang w:val="en-GB"/>
    </w:rPr>
  </w:style>
  <w:style w:type="paragraph" w:customStyle="1" w:styleId="92">
    <w:name w:val="B1"/>
    <w:basedOn w:val="57"/>
    <w:link w:val="91"/>
    <w:qFormat/>
    <w:uiPriority w:val="0"/>
    <w:pPr>
      <w:spacing w:after="180" w:line="240" w:lineRule="auto"/>
      <w:ind w:left="568" w:hanging="284" w:firstLineChars="0"/>
    </w:pPr>
    <w:rPr>
      <w:rFonts w:ascii="Times New Roman" w:hAnsi="Times New Roman" w:eastAsia="宋体"/>
      <w:lang w:val="en-GB"/>
    </w:rPr>
  </w:style>
  <w:style w:type="character" w:customStyle="1" w:styleId="93">
    <w:name w:val="正文文本 字符1"/>
    <w:link w:val="30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94">
    <w:name w:val="正文文本 字符"/>
    <w:basedOn w:val="71"/>
    <w:qFormat/>
    <w:uiPriority w:val="0"/>
  </w:style>
  <w:style w:type="paragraph" w:customStyle="1" w:styleId="95">
    <w:name w:val="B2"/>
    <w:basedOn w:val="33"/>
    <w:link w:val="96"/>
    <w:qFormat/>
    <w:uiPriority w:val="0"/>
    <w:pPr>
      <w:overflowPunct w:val="0"/>
      <w:autoSpaceDE w:val="0"/>
      <w:autoSpaceDN w:val="0"/>
      <w:adjustRightInd w:val="0"/>
      <w:spacing w:after="180" w:line="240" w:lineRule="auto"/>
      <w:ind w:left="851" w:leftChars="0" w:hanging="284" w:firstLineChars="0"/>
      <w:contextualSpacing w:val="0"/>
      <w:textAlignment w:val="baseline"/>
    </w:pPr>
    <w:rPr>
      <w:rFonts w:ascii="Times New Roman" w:hAnsi="Times New Roman" w:eastAsia="MS Mincho" w:cs="Times New Roman"/>
      <w:sz w:val="20"/>
      <w:szCs w:val="20"/>
      <w:lang w:val="en-GB"/>
    </w:rPr>
  </w:style>
  <w:style w:type="character" w:customStyle="1" w:styleId="96">
    <w:name w:val="B2 Char"/>
    <w:link w:val="95"/>
    <w:qFormat/>
    <w:uiPriority w:val="0"/>
    <w:rPr>
      <w:rFonts w:ascii="Times New Roman" w:hAnsi="Times New Roman" w:eastAsia="MS Mincho" w:cs="Times New Roman"/>
      <w:sz w:val="20"/>
      <w:szCs w:val="20"/>
      <w:lang w:val="en-GB"/>
    </w:rPr>
  </w:style>
  <w:style w:type="character" w:customStyle="1" w:styleId="97">
    <w:name w:val="tgt"/>
    <w:basedOn w:val="71"/>
    <w:qFormat/>
    <w:uiPriority w:val="0"/>
  </w:style>
  <w:style w:type="character" w:customStyle="1" w:styleId="98">
    <w:name w:val="批注框文本 字符"/>
    <w:basedOn w:val="71"/>
    <w:link w:val="47"/>
    <w:qFormat/>
    <w:uiPriority w:val="0"/>
    <w:rPr>
      <w:sz w:val="18"/>
      <w:szCs w:val="18"/>
    </w:rPr>
  </w:style>
  <w:style w:type="character" w:customStyle="1" w:styleId="99">
    <w:name w:val="页脚 字符"/>
    <w:basedOn w:val="71"/>
    <w:link w:val="48"/>
    <w:qFormat/>
    <w:uiPriority w:val="99"/>
    <w:rPr>
      <w:sz w:val="18"/>
      <w:szCs w:val="18"/>
    </w:rPr>
  </w:style>
  <w:style w:type="character" w:customStyle="1" w:styleId="100">
    <w:name w:val="列表段落 字符"/>
    <w:link w:val="83"/>
    <w:qFormat/>
    <w:locked/>
    <w:uiPriority w:val="34"/>
    <w:rPr>
      <w:rFonts w:eastAsiaTheme="minorEastAsia"/>
      <w:b/>
      <w:bCs/>
      <w:i/>
      <w:iCs/>
      <w:sz w:val="22"/>
      <w:szCs w:val="22"/>
    </w:rPr>
  </w:style>
  <w:style w:type="paragraph" w:customStyle="1" w:styleId="101">
    <w:name w:val="Proposal"/>
    <w:basedOn w:val="1"/>
    <w:qFormat/>
    <w:uiPriority w:val="0"/>
    <w:pPr>
      <w:numPr>
        <w:ilvl w:val="0"/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table" w:customStyle="1" w:styleId="102">
    <w:name w:val="网格型1"/>
    <w:basedOn w:val="6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">
    <w:name w:val="批注文字 字符"/>
    <w:basedOn w:val="71"/>
    <w:link w:val="27"/>
    <w:qFormat/>
    <w:uiPriority w:val="0"/>
  </w:style>
  <w:style w:type="character" w:customStyle="1" w:styleId="104">
    <w:name w:val="批注主题 字符"/>
    <w:basedOn w:val="103"/>
    <w:link w:val="66"/>
    <w:qFormat/>
    <w:uiPriority w:val="0"/>
    <w:rPr>
      <w:b/>
      <w:bCs/>
    </w:rPr>
  </w:style>
  <w:style w:type="table" w:customStyle="1" w:styleId="105">
    <w:name w:val="清单表 1 浅色1"/>
    <w:basedOn w:val="69"/>
    <w:qFormat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6">
    <w:name w:val="网格表 4 - 着色 11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07">
    <w:name w:val="网格表 4 - 着色 12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character" w:customStyle="1" w:styleId="108">
    <w:name w:val="标题 3 字符"/>
    <w:basedOn w:val="71"/>
    <w:link w:val="5"/>
    <w:qFormat/>
    <w:uiPriority w:val="9"/>
    <w:rPr>
      <w:rFonts w:ascii="Arial" w:hAnsi="Arial" w:eastAsia="Arial" w:cs="Arial"/>
      <w:b/>
      <w:sz w:val="21"/>
      <w:szCs w:val="20"/>
      <w:lang w:val="en-GB" w:eastAsia="zh-CN"/>
    </w:rPr>
  </w:style>
  <w:style w:type="character" w:customStyle="1" w:styleId="109">
    <w:name w:val="标题 4 字符"/>
    <w:basedOn w:val="71"/>
    <w:link w:val="6"/>
    <w:qFormat/>
    <w:uiPriority w:val="9"/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character" w:customStyle="1" w:styleId="110">
    <w:name w:val="标题 5 字符"/>
    <w:basedOn w:val="71"/>
    <w:link w:val="7"/>
    <w:qFormat/>
    <w:uiPriority w:val="0"/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character" w:customStyle="1" w:styleId="111">
    <w:name w:val="标题 6 字符"/>
    <w:basedOn w:val="71"/>
    <w:link w:val="8"/>
    <w:qFormat/>
    <w:uiPriority w:val="0"/>
    <w:rPr>
      <w:rFonts w:ascii="Times New Roman" w:hAnsi="Times New Roman" w:eastAsia="Arial" w:cs="Times New Roman"/>
      <w:i/>
      <w:szCs w:val="20"/>
      <w:lang w:val="en-GB" w:eastAsia="zh-CN"/>
    </w:rPr>
  </w:style>
  <w:style w:type="character" w:customStyle="1" w:styleId="112">
    <w:name w:val="标题 7 字符"/>
    <w:basedOn w:val="71"/>
    <w:link w:val="9"/>
    <w:qFormat/>
    <w:uiPriority w:val="0"/>
    <w:rPr>
      <w:rFonts w:ascii="Times New Roman" w:hAnsi="Times New Roman" w:eastAsia="Arial" w:cs="Times New Roman"/>
      <w:sz w:val="20"/>
      <w:szCs w:val="20"/>
      <w:lang w:val="en-GB" w:eastAsia="zh-CN"/>
    </w:rPr>
  </w:style>
  <w:style w:type="character" w:customStyle="1" w:styleId="113">
    <w:name w:val="标题 8 字符"/>
    <w:basedOn w:val="71"/>
    <w:link w:val="10"/>
    <w:qFormat/>
    <w:uiPriority w:val="9"/>
    <w:rPr>
      <w:rFonts w:ascii="Times New Roman" w:hAnsi="Times New Roman" w:eastAsia="Arial" w:cs="Times New Roman"/>
      <w:i/>
      <w:sz w:val="20"/>
      <w:szCs w:val="20"/>
      <w:lang w:val="en-GB" w:eastAsia="zh-CN"/>
    </w:rPr>
  </w:style>
  <w:style w:type="character" w:customStyle="1" w:styleId="114">
    <w:name w:val="标题 9 字符"/>
    <w:basedOn w:val="71"/>
    <w:link w:val="11"/>
    <w:qFormat/>
    <w:uiPriority w:val="0"/>
    <w:rPr>
      <w:rFonts w:ascii="Times New Roman" w:hAnsi="Times New Roman" w:eastAsia="Arial" w:cs="Times New Roman"/>
      <w:b/>
      <w:i/>
      <w:sz w:val="18"/>
      <w:szCs w:val="20"/>
      <w:lang w:val="en-GB" w:eastAsia="zh-CN"/>
    </w:rPr>
  </w:style>
  <w:style w:type="paragraph" w:customStyle="1" w:styleId="115">
    <w:name w:val="Body Text Continued"/>
    <w:basedOn w:val="1"/>
    <w:next w:val="30"/>
    <w:qFormat/>
    <w:uiPriority w:val="0"/>
    <w:p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16">
    <w:name w:val="Quote1"/>
    <w:basedOn w:val="1"/>
    <w:next w:val="115"/>
    <w:qFormat/>
    <w:uiPriority w:val="0"/>
    <w:pPr>
      <w:spacing w:before="100" w:beforeAutospacing="1" w:after="240" w:line="240" w:lineRule="auto"/>
      <w:ind w:left="1440" w:righ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17">
    <w:name w:val="Body Text 1.5"/>
    <w:basedOn w:val="1"/>
    <w:qFormat/>
    <w:uiPriority w:val="0"/>
    <w:pPr>
      <w:spacing w:before="100" w:beforeAutospacing="1" w:after="240" w:line="36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18">
    <w:name w:val="正文文本 2 字符"/>
    <w:basedOn w:val="71"/>
    <w:link w:val="62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19">
    <w:name w:val="正文文本缩进 字符"/>
    <w:basedOn w:val="71"/>
    <w:link w:val="31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0">
    <w:name w:val="正文文本首行缩进 2 字符"/>
    <w:basedOn w:val="119"/>
    <w:link w:val="68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1">
    <w:name w:val="正文文本首行缩进 字符"/>
    <w:basedOn w:val="93"/>
    <w:link w:val="67"/>
    <w:qFormat/>
    <w:uiPriority w:val="0"/>
    <w:rPr>
      <w:rFonts w:ascii="Times New Roman" w:hAnsi="Times New Roman" w:eastAsia="Arial" w:cs="Times New Roman"/>
      <w:color w:val="0000FF"/>
      <w:kern w:val="2"/>
      <w:sz w:val="18"/>
      <w:szCs w:val="20"/>
      <w:lang w:val="en-GB" w:eastAsia="zh-CN"/>
    </w:rPr>
  </w:style>
  <w:style w:type="paragraph" w:customStyle="1" w:styleId="122">
    <w:name w:val="Body Text Indent 1.5"/>
    <w:basedOn w:val="1"/>
    <w:autoRedefine/>
    <w:qFormat/>
    <w:uiPriority w:val="0"/>
    <w:pPr>
      <w:spacing w:before="100" w:beforeAutospacing="1" w:after="240" w:line="36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3">
    <w:name w:val="正文文本缩进 2 字符"/>
    <w:basedOn w:val="71"/>
    <w:link w:val="45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4">
    <w:name w:val="Bullets"/>
    <w:basedOn w:val="1"/>
    <w:autoRedefine/>
    <w:qFormat/>
    <w:uiPriority w:val="0"/>
    <w:pPr>
      <w:spacing w:before="100" w:beforeAutospacing="1" w:after="0" w:line="240" w:lineRule="auto"/>
      <w:ind w:lef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5">
    <w:name w:val="Centered"/>
    <w:basedOn w:val="1"/>
    <w:next w:val="30"/>
    <w:qFormat/>
    <w:uiPriority w:val="0"/>
    <w:pPr>
      <w:keepNext/>
      <w:keepLines/>
      <w:spacing w:before="100" w:beforeAutospacing="1" w:after="240" w:line="240" w:lineRule="auto"/>
      <w:contextualSpacing/>
      <w:jc w:val="center"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6">
    <w:name w:val="日期 字符"/>
    <w:basedOn w:val="71"/>
    <w:link w:val="44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7">
    <w:name w:val="Delivery Phrase"/>
    <w:basedOn w:val="1"/>
    <w:next w:val="1"/>
    <w:qFormat/>
    <w:uiPriority w:val="0"/>
    <w:pPr>
      <w:spacing w:before="240" w:beforeAutospacing="1" w:after="0" w:line="240" w:lineRule="auto"/>
      <w:contextualSpacing/>
    </w:pPr>
    <w:rPr>
      <w:rFonts w:ascii="Times New Roman" w:hAnsi="Times New Roman" w:eastAsia="Arial" w:cs="Times New Roman"/>
      <w:b/>
      <w:smallCaps/>
      <w:sz w:val="18"/>
      <w:szCs w:val="20"/>
      <w:u w:val="single"/>
      <w:lang w:val="en-GB" w:eastAsia="zh-CN"/>
    </w:rPr>
  </w:style>
  <w:style w:type="paragraph" w:customStyle="1" w:styleId="128">
    <w:name w:val="Field Code"/>
    <w:basedOn w:val="1"/>
    <w:qFormat/>
    <w:uiPriority w:val="0"/>
    <w:pPr>
      <w:spacing w:before="100" w:beforeAutospacing="1" w:after="240" w:line="24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9">
    <w:name w:val="脚注文本 字符"/>
    <w:basedOn w:val="71"/>
    <w:link w:val="58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0">
    <w:name w:val="宏文本 字符"/>
    <w:basedOn w:val="71"/>
    <w:link w:val="2"/>
    <w:qFormat/>
    <w:uiPriority w:val="0"/>
    <w:rPr>
      <w:rFonts w:ascii="Times New Roman" w:hAnsi="Times New Roman" w:eastAsia="Times New Roman" w:cs="Times New Roman"/>
      <w:sz w:val="18"/>
      <w:szCs w:val="20"/>
    </w:rPr>
  </w:style>
  <w:style w:type="character" w:customStyle="1" w:styleId="131">
    <w:name w:val="签名 字符"/>
    <w:basedOn w:val="71"/>
    <w:link w:val="50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2">
    <w:name w:val="副标题 字符"/>
    <w:basedOn w:val="71"/>
    <w:link w:val="55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3">
    <w:name w:val="标题 字符"/>
    <w:basedOn w:val="71"/>
    <w:link w:val="65"/>
    <w:qFormat/>
    <w:uiPriority w:val="10"/>
    <w:rPr>
      <w:rFonts w:ascii="Times New Roman" w:hAnsi="Times New Roman" w:eastAsia="Arial" w:cs="Times New Roman"/>
      <w:b/>
      <w:kern w:val="28"/>
      <w:sz w:val="18"/>
      <w:szCs w:val="20"/>
      <w:lang w:val="en-GB" w:eastAsia="zh-CN"/>
    </w:rPr>
  </w:style>
  <w:style w:type="character" w:customStyle="1" w:styleId="134">
    <w:name w:val="文档结构图 字符"/>
    <w:basedOn w:val="71"/>
    <w:link w:val="25"/>
    <w:qFormat/>
    <w:uiPriority w:val="0"/>
    <w:rPr>
      <w:rFonts w:ascii="Tahoma" w:hAnsi="Tahoma" w:eastAsia="Arial" w:cs="Tahoma"/>
      <w:sz w:val="18"/>
      <w:szCs w:val="20"/>
      <w:shd w:val="clear" w:color="auto" w:fill="000080"/>
      <w:lang w:val="en-GB" w:eastAsia="zh-CN"/>
    </w:rPr>
  </w:style>
  <w:style w:type="character" w:customStyle="1" w:styleId="135">
    <w:name w:val="尾注文本 字符"/>
    <w:basedOn w:val="71"/>
    <w:link w:val="46"/>
    <w:qFormat/>
    <w:uiPriority w:val="0"/>
    <w:rPr>
      <w:rFonts w:ascii="Times New Roman" w:hAnsi="Times New Roman" w:eastAsia="Arial" w:cs="Times New Roman"/>
      <w:sz w:val="20"/>
      <w:szCs w:val="20"/>
      <w:lang w:val="en-GB" w:eastAsia="zh-CN"/>
    </w:rPr>
  </w:style>
  <w:style w:type="table" w:customStyle="1" w:styleId="136">
    <w:name w:val="网格型2"/>
    <w:basedOn w:val="6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7">
    <w:name w:val="zzmpTrailerItem"/>
    <w:qFormat/>
    <w:uiPriority w:val="0"/>
    <w:rPr>
      <w:rFonts w:ascii="Times New Roman" w:hAnsi="Times New Roman" w:cs="Times New Roman"/>
      <w:color w:val="auto"/>
      <w:spacing w:val="0"/>
      <w:position w:val="0"/>
      <w:sz w:val="16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38">
    <w:name w:val="word"/>
    <w:qFormat/>
    <w:uiPriority w:val="0"/>
  </w:style>
  <w:style w:type="character" w:customStyle="1" w:styleId="139">
    <w:name w:val="apple-converted-space"/>
    <w:qFormat/>
    <w:uiPriority w:val="0"/>
  </w:style>
  <w:style w:type="character" w:customStyle="1" w:styleId="140">
    <w:name w:val="B1 Char"/>
    <w:qFormat/>
    <w:locked/>
    <w:uiPriority w:val="0"/>
    <w:rPr>
      <w:lang w:eastAsia="zh-CN"/>
    </w:rPr>
  </w:style>
  <w:style w:type="character" w:customStyle="1" w:styleId="141">
    <w:name w:val="题注 字符"/>
    <w:link w:val="21"/>
    <w:qFormat/>
    <w:uiPriority w:val="0"/>
    <w:rPr>
      <w:rFonts w:ascii="Times New Roman" w:hAnsi="Times New Roman" w:eastAsia="Arial" w:cs="Times New Roman"/>
      <w:b/>
      <w:bCs/>
      <w:sz w:val="20"/>
      <w:szCs w:val="20"/>
      <w:lang w:val="en-GB" w:eastAsia="zh-CN"/>
    </w:rPr>
  </w:style>
  <w:style w:type="character" w:customStyle="1" w:styleId="142">
    <w:name w:val="B1 Char1"/>
    <w:qFormat/>
    <w:uiPriority w:val="0"/>
    <w:rPr>
      <w:rFonts w:eastAsia="Times New Roman"/>
    </w:rPr>
  </w:style>
  <w:style w:type="paragraph" w:customStyle="1" w:styleId="143">
    <w:name w:val="text intend 3"/>
    <w:basedOn w:val="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before="100" w:beforeAutospacing="1" w:after="120" w:line="240" w:lineRule="auto"/>
      <w:contextualSpacing/>
      <w:jc w:val="both"/>
      <w:textAlignment w:val="baseline"/>
    </w:pPr>
    <w:rPr>
      <w:rFonts w:ascii="Times New Roman" w:hAnsi="Times New Roman" w:eastAsia="MS Mincho" w:cs="Times New Roman"/>
      <w:sz w:val="18"/>
      <w:szCs w:val="20"/>
      <w:lang w:eastAsia="en-GB"/>
    </w:rPr>
  </w:style>
  <w:style w:type="paragraph" w:customStyle="1" w:styleId="144">
    <w:name w:val="main text"/>
    <w:basedOn w:val="1"/>
    <w:link w:val="145"/>
    <w:qFormat/>
    <w:uiPriority w:val="0"/>
    <w:pPr>
      <w:spacing w:before="60" w:beforeAutospacing="1" w:after="60" w:line="288" w:lineRule="auto"/>
      <w:ind w:firstLine="200" w:firstLineChars="200"/>
      <w:contextualSpacing/>
      <w:jc w:val="both"/>
    </w:pPr>
    <w:rPr>
      <w:rFonts w:ascii="Times New Roman" w:hAnsi="Times New Roman" w:eastAsia="Malgun Gothic" w:cs="Batang"/>
      <w:sz w:val="20"/>
      <w:szCs w:val="20"/>
      <w:lang w:val="en-GB" w:eastAsia="ko-KR"/>
    </w:rPr>
  </w:style>
  <w:style w:type="character" w:customStyle="1" w:styleId="145">
    <w:name w:val="main text Char"/>
    <w:link w:val="144"/>
    <w:qFormat/>
    <w:uiPriority w:val="0"/>
    <w:rPr>
      <w:rFonts w:ascii="Times New Roman" w:hAnsi="Times New Roman" w:eastAsia="Malgun Gothic" w:cs="Batang"/>
      <w:sz w:val="20"/>
      <w:szCs w:val="20"/>
      <w:lang w:val="en-GB" w:eastAsia="ko-KR"/>
    </w:rPr>
  </w:style>
  <w:style w:type="paragraph" w:customStyle="1" w:styleId="146">
    <w:name w:val="修订1"/>
    <w:hidden/>
    <w:semiHidden/>
    <w:qFormat/>
    <w:uiPriority w:val="99"/>
    <w:rPr>
      <w:rFonts w:ascii="Times New Roman" w:hAnsi="Times New Roman" w:eastAsia="宋体" w:cs="Times New Roman"/>
      <w:sz w:val="24"/>
      <w:lang w:val="en-GB" w:eastAsia="zh-CN" w:bidi="ar-SA"/>
    </w:rPr>
  </w:style>
  <w:style w:type="paragraph" w:customStyle="1" w:styleId="147">
    <w:name w:val="B3"/>
    <w:basedOn w:val="12"/>
    <w:link w:val="175"/>
    <w:qFormat/>
    <w:uiPriority w:val="0"/>
    <w:pPr>
      <w:spacing w:after="180"/>
      <w:ind w:left="1135" w:hanging="284"/>
      <w:contextualSpacing w:val="0"/>
    </w:pPr>
    <w:rPr>
      <w:rFonts w:eastAsia="Times New Roman"/>
      <w:sz w:val="20"/>
      <w:lang w:eastAsia="en-US"/>
    </w:rPr>
  </w:style>
  <w:style w:type="character" w:customStyle="1" w:styleId="148">
    <w:name w:val="B2 Car"/>
    <w:qFormat/>
    <w:uiPriority w:val="0"/>
    <w:rPr>
      <w:rFonts w:eastAsia="Times New Roman"/>
    </w:rPr>
  </w:style>
  <w:style w:type="paragraph" w:customStyle="1" w:styleId="149">
    <w:name w:val="TH"/>
    <w:basedOn w:val="1"/>
    <w:link w:val="150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 w:after="180" w:line="240" w:lineRule="auto"/>
      <w:contextualSpacing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zh-CN" w:eastAsia="zh-CN"/>
    </w:rPr>
  </w:style>
  <w:style w:type="character" w:customStyle="1" w:styleId="150">
    <w:name w:val="TH Char"/>
    <w:link w:val="149"/>
    <w:qFormat/>
    <w:uiPriority w:val="0"/>
    <w:rPr>
      <w:rFonts w:ascii="Arial" w:hAnsi="Arial" w:eastAsia="Times New Roman" w:cs="Times New Roman"/>
      <w:b/>
      <w:sz w:val="20"/>
      <w:szCs w:val="20"/>
      <w:lang w:val="zh-CN" w:eastAsia="zh-CN"/>
    </w:rPr>
  </w:style>
  <w:style w:type="paragraph" w:customStyle="1" w:styleId="15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52">
    <w:name w:val="PL Char"/>
    <w:link w:val="151"/>
    <w:qFormat/>
    <w:uiPriority w:val="0"/>
    <w:rPr>
      <w:rFonts w:ascii="Courier New" w:hAnsi="Courier New" w:eastAsia="Times New Roman" w:cs="Times New Roman"/>
      <w:sz w:val="16"/>
      <w:szCs w:val="20"/>
    </w:rPr>
  </w:style>
  <w:style w:type="character" w:customStyle="1" w:styleId="153">
    <w:name w:val="Unresolved Mention1"/>
    <w:basedOn w:val="7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4">
    <w:name w:val="Style Heading 1NMP Heading 1H1h11h12h13h14h15h16app headin..."/>
    <w:basedOn w:val="3"/>
    <w:qFormat/>
    <w:uiPriority w:val="0"/>
    <w:pPr>
      <w:keepLines w:val="0"/>
      <w:numPr>
        <w:ilvl w:val="0"/>
        <w:numId w:val="15"/>
      </w:numPr>
      <w:spacing w:beforeAutospacing="1" w:after="60" w:line="240" w:lineRule="auto"/>
      <w:contextualSpacing/>
      <w:jc w:val="both"/>
    </w:pPr>
    <w:rPr>
      <w:rFonts w:ascii="Arial" w:hAnsi="Arial" w:eastAsia="Batang" w:cs="Arial"/>
      <w:bCs/>
      <w:color w:val="auto"/>
      <w:kern w:val="32"/>
      <w:sz w:val="28"/>
      <w:lang w:val="en-GB"/>
    </w:rPr>
  </w:style>
  <w:style w:type="character" w:customStyle="1" w:styleId="155">
    <w:name w:val="Unresolved Mention2"/>
    <w:basedOn w:val="7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样式1"/>
    <w:basedOn w:val="1"/>
    <w:qFormat/>
    <w:uiPriority w:val="0"/>
    <w:pPr>
      <w:keepNext/>
      <w:keepLines/>
      <w:numPr>
        <w:ilvl w:val="0"/>
        <w:numId w:val="16"/>
      </w:numPr>
      <w:overflowPunct w:val="0"/>
      <w:autoSpaceDE w:val="0"/>
      <w:autoSpaceDN w:val="0"/>
      <w:adjustRightInd w:val="0"/>
      <w:spacing w:before="100" w:beforeAutospacing="1" w:after="0" w:line="240" w:lineRule="auto"/>
      <w:contextualSpacing/>
      <w:textAlignment w:val="baseline"/>
    </w:pPr>
    <w:rPr>
      <w:rFonts w:ascii="Arial" w:hAnsi="Arial" w:eastAsia="MS Mincho" w:cs="Times New Roman"/>
      <w:sz w:val="18"/>
      <w:szCs w:val="20"/>
      <w:lang w:val="zh-CN" w:eastAsia="ja-JP"/>
    </w:rPr>
  </w:style>
  <w:style w:type="paragraph" w:customStyle="1" w:styleId="157">
    <w:name w:val="TAH"/>
    <w:basedOn w:val="158"/>
    <w:link w:val="161"/>
    <w:qFormat/>
    <w:uiPriority w:val="0"/>
    <w:rPr>
      <w:b/>
    </w:rPr>
  </w:style>
  <w:style w:type="paragraph" w:customStyle="1" w:styleId="158">
    <w:name w:val="TAC"/>
    <w:basedOn w:val="159"/>
    <w:link w:val="160"/>
    <w:qFormat/>
    <w:uiPriority w:val="0"/>
    <w:pPr>
      <w:keepNext/>
      <w:keepLines/>
      <w:spacing w:before="100" w:beforeAutospacing="1" w:after="0" w:line="240" w:lineRule="auto"/>
      <w:contextualSpacing/>
      <w:jc w:val="center"/>
    </w:pPr>
    <w:rPr>
      <w:rFonts w:ascii="Arial" w:hAnsi="Arial" w:cs="Times New Roman"/>
      <w:sz w:val="18"/>
      <w:szCs w:val="20"/>
      <w:lang w:val="en-GB"/>
    </w:rPr>
  </w:style>
  <w:style w:type="paragraph" w:customStyle="1" w:styleId="159">
    <w:name w:val="TAL"/>
    <w:basedOn w:val="1"/>
    <w:link w:val="169"/>
    <w:qFormat/>
    <w:uiPriority w:val="0"/>
    <w:pPr>
      <w:keepNext/>
      <w:keepLines/>
      <w:overflowPunct w:val="0"/>
      <w:autoSpaceDE w:val="0"/>
      <w:autoSpaceDN w:val="0"/>
      <w:adjustRightInd w:val="0"/>
      <w:spacing w:beforeAutospacing="1" w:after="0" w:line="240" w:lineRule="auto"/>
      <w:contextualSpacing/>
      <w:textAlignment w:val="baseline"/>
    </w:pPr>
    <w:rPr>
      <w:rFonts w:ascii="Arial" w:hAnsi="Arial" w:eastAsia="Times New Roman" w:cs="Times New Roman"/>
      <w:sz w:val="18"/>
      <w:szCs w:val="20"/>
      <w:lang w:val="en-GB" w:eastAsia="ja-JP"/>
    </w:rPr>
  </w:style>
  <w:style w:type="character" w:customStyle="1" w:styleId="160">
    <w:name w:val="TAC Char"/>
    <w:link w:val="158"/>
    <w:qFormat/>
    <w:locked/>
    <w:uiPriority w:val="0"/>
    <w:rPr>
      <w:rFonts w:ascii="Arial" w:hAnsi="Arial" w:cs="Times New Roman"/>
      <w:sz w:val="18"/>
      <w:szCs w:val="20"/>
      <w:lang w:val="en-GB"/>
    </w:rPr>
  </w:style>
  <w:style w:type="character" w:customStyle="1" w:styleId="161">
    <w:name w:val="TAH Car"/>
    <w:link w:val="157"/>
    <w:qFormat/>
    <w:locked/>
    <w:uiPriority w:val="0"/>
    <w:rPr>
      <w:rFonts w:ascii="Arial" w:hAnsi="Arial" w:cs="Times New Roman"/>
      <w:b/>
      <w:sz w:val="18"/>
      <w:szCs w:val="20"/>
      <w:lang w:val="en-GB"/>
    </w:rPr>
  </w:style>
  <w:style w:type="character" w:customStyle="1" w:styleId="162">
    <w:name w:val="访问过的超链接1"/>
    <w:basedOn w:val="71"/>
    <w:semiHidden/>
    <w:unhideWhenUsed/>
    <w:qFormat/>
    <w:uiPriority w:val="0"/>
    <w:rPr>
      <w:color w:val="954F72"/>
      <w:u w:val="single"/>
    </w:rPr>
  </w:style>
  <w:style w:type="character" w:styleId="163">
    <w:name w:val="Placeholder Text"/>
    <w:basedOn w:val="71"/>
    <w:semiHidden/>
    <w:qFormat/>
    <w:uiPriority w:val="99"/>
    <w:rPr>
      <w:color w:val="808080"/>
    </w:rPr>
  </w:style>
  <w:style w:type="table" w:customStyle="1" w:styleId="164">
    <w:name w:val="网格表 4 - 着色 51"/>
    <w:basedOn w:val="69"/>
    <w:qFormat/>
    <w:uiPriority w:val="49"/>
    <w:rPr>
      <w:kern w:val="2"/>
      <w:sz w:val="21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165">
    <w:name w:val="fontstyle31"/>
    <w:basedOn w:val="71"/>
    <w:qFormat/>
    <w:uiPriority w:val="0"/>
    <w:rPr>
      <w:rFonts w:hint="default" w:ascii="TimesNewRomanPSMT" w:hAnsi="TimesNewRomanPSMT"/>
      <w:color w:val="000000"/>
      <w:sz w:val="54"/>
      <w:szCs w:val="54"/>
    </w:rPr>
  </w:style>
  <w:style w:type="paragraph" w:customStyle="1" w:styleId="166">
    <w:name w:val="TAN"/>
    <w:basedOn w:val="1"/>
    <w:link w:val="167"/>
    <w:qFormat/>
    <w:uiPriority w:val="0"/>
    <w:pPr>
      <w:keepNext/>
      <w:keepLines/>
      <w:spacing w:before="100" w:beforeAutospacing="1" w:after="0" w:line="240" w:lineRule="auto"/>
      <w:ind w:left="851" w:hanging="851"/>
      <w:contextualSpacing/>
    </w:pPr>
    <w:rPr>
      <w:rFonts w:ascii="Arial" w:hAnsi="Arial" w:eastAsia="Arial" w:cs="Times New Roman"/>
      <w:sz w:val="18"/>
      <w:szCs w:val="20"/>
      <w:lang w:val="en-GB"/>
    </w:rPr>
  </w:style>
  <w:style w:type="character" w:customStyle="1" w:styleId="167">
    <w:name w:val="TAN Char"/>
    <w:link w:val="166"/>
    <w:qFormat/>
    <w:uiPriority w:val="0"/>
    <w:rPr>
      <w:rFonts w:ascii="Arial" w:hAnsi="Arial" w:eastAsia="Arial" w:cs="Times New Roman"/>
      <w:sz w:val="18"/>
      <w:szCs w:val="20"/>
      <w:lang w:val="en-GB"/>
    </w:rPr>
  </w:style>
  <w:style w:type="character" w:customStyle="1" w:styleId="168">
    <w:name w:val="number2"/>
    <w:basedOn w:val="71"/>
    <w:qFormat/>
    <w:uiPriority w:val="0"/>
  </w:style>
  <w:style w:type="character" w:customStyle="1" w:styleId="169">
    <w:name w:val="TAL Car"/>
    <w:link w:val="159"/>
    <w:qFormat/>
    <w:uiPriority w:val="0"/>
    <w:rPr>
      <w:rFonts w:ascii="Arial" w:hAnsi="Arial" w:eastAsia="Times New Roman" w:cs="Times New Roman"/>
      <w:sz w:val="18"/>
      <w:szCs w:val="20"/>
      <w:lang w:val="en-GB" w:eastAsia="ja-JP"/>
    </w:rPr>
  </w:style>
  <w:style w:type="character" w:customStyle="1" w:styleId="170">
    <w:name w:val="B1 Zchn"/>
    <w:qFormat/>
    <w:uiPriority w:val="0"/>
    <w:rPr>
      <w:lang w:val="en-GB" w:eastAsia="en-US"/>
    </w:rPr>
  </w:style>
  <w:style w:type="table" w:customStyle="1" w:styleId="171">
    <w:name w:val="网格表 4 - 着色 21"/>
    <w:basedOn w:val="69"/>
    <w:qFormat/>
    <w:uiPriority w:val="4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  <w:color w:val="FFFFFF"/>
      </w:rPr>
      <w:tcPr>
        <w:tcBorders>
          <w:top w:val="single" w:color="ED7D31" w:sz="4" w:space="0"/>
          <w:left w:val="single" w:color="ED7D31" w:sz="4" w:space="0"/>
          <w:bottom w:val="single" w:color="ED7D31" w:sz="4" w:space="0"/>
          <w:right w:val="single" w:color="ED7D31" w:sz="4" w:space="0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/>
      </w:tcPr>
    </w:tblStylePr>
    <w:tblStylePr w:type="band1Horz">
      <w:tcPr>
        <w:shd w:val="clear" w:color="auto" w:fill="FBE4D5"/>
      </w:tcPr>
    </w:tblStylePr>
  </w:style>
  <w:style w:type="character" w:customStyle="1" w:styleId="172">
    <w:name w:val="fontstyle41"/>
    <w:basedOn w:val="71"/>
    <w:qFormat/>
    <w:uiPriority w:val="0"/>
    <w:rPr>
      <w:rFonts w:hint="default" w:ascii="CambriaMath" w:hAnsi="CambriaMath"/>
      <w:color w:val="000000"/>
      <w:sz w:val="20"/>
      <w:szCs w:val="20"/>
    </w:rPr>
  </w:style>
  <w:style w:type="character" w:customStyle="1" w:styleId="173">
    <w:name w:val="tgt1"/>
    <w:basedOn w:val="71"/>
    <w:qFormat/>
    <w:uiPriority w:val="0"/>
  </w:style>
  <w:style w:type="table" w:customStyle="1" w:styleId="174">
    <w:name w:val="网格表 5 深色 - 着色 51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cPr>
        <w:shd w:val="clear" w:color="auto" w:fill="B4C6E7"/>
      </w:tcPr>
    </w:tblStylePr>
    <w:tblStylePr w:type="band1Horz">
      <w:tcPr>
        <w:shd w:val="clear" w:color="auto" w:fill="B4C6E7"/>
      </w:tcPr>
    </w:tblStylePr>
  </w:style>
  <w:style w:type="character" w:customStyle="1" w:styleId="175">
    <w:name w:val="B3 Char"/>
    <w:link w:val="147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table" w:customStyle="1" w:styleId="176">
    <w:name w:val="网格表 5 深色 - 着色 11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77">
    <w:name w:val="网格表 4 - 着色 31"/>
    <w:basedOn w:val="69"/>
    <w:qFormat/>
    <w:uiPriority w:val="4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  <w:color w:val="FFFFFF"/>
      </w:rPr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cPr>
        <w:tcBorders>
          <w:top w:val="double" w:color="A5A5A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table" w:customStyle="1" w:styleId="178">
    <w:name w:val="网格表 4 - 着色 52"/>
    <w:basedOn w:val="69"/>
    <w:qFormat/>
    <w:uiPriority w:val="49"/>
    <w:tblPr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5" w:themeFillTint="33"/>
      </w:tcPr>
    </w:tblStylePr>
    <w:tblStylePr w:type="band1Horz">
      <w:tcPr>
        <w:shd w:val="clear" w:color="auto" w:fill="DEEAF6" w:themeFill="accent5" w:themeFillTint="33"/>
      </w:tcPr>
    </w:tblStylePr>
  </w:style>
  <w:style w:type="table" w:customStyle="1" w:styleId="179">
    <w:name w:val="网格表 4 - 着色 22"/>
    <w:basedOn w:val="6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80">
    <w:name w:val="网格表 5 深色 - 着色 52"/>
    <w:basedOn w:val="6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181">
    <w:name w:val="网格表 5 深色 - 着色 12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82">
    <w:name w:val="网格表 4 - 着色 32"/>
    <w:basedOn w:val="69"/>
    <w:qFormat/>
    <w:uiPriority w:val="4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83">
    <w:name w:val="网格表 4 - 着色 13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paragraph" w:customStyle="1" w:styleId="18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eastAsia="宋体" w:cs="Times New Roman"/>
      <w:sz w:val="20"/>
      <w:szCs w:val="20"/>
      <w:lang w:val="en-GB"/>
    </w:rPr>
  </w:style>
  <w:style w:type="character" w:customStyle="1" w:styleId="185">
    <w:name w:val="列出段落 字符1"/>
    <w:autoRedefine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908AD-8FEE-4AE6-94F6-C979F117B291}">
  <ds:schemaRefs/>
</ds:datastoreItem>
</file>

<file path=customXml/itemProps2.xml><?xml version="1.0" encoding="utf-8"?>
<ds:datastoreItem xmlns:ds="http://schemas.openxmlformats.org/officeDocument/2006/customXml" ds:itemID="{04B6204E-FF36-4020-B51B-B13A2E570E76}">
  <ds:schemaRefs/>
</ds:datastoreItem>
</file>

<file path=customXml/itemProps3.xml><?xml version="1.0" encoding="utf-8"?>
<ds:datastoreItem xmlns:ds="http://schemas.openxmlformats.org/officeDocument/2006/customXml" ds:itemID="{EC3856BB-FA30-4221-A957-89C7D07F39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tclking</Company>
  <Pages>7</Pages>
  <Words>534</Words>
  <Characters>2936</Characters>
  <Lines>106</Lines>
  <Paragraphs>29</Paragraphs>
  <TotalTime>3</TotalTime>
  <ScaleCrop>false</ScaleCrop>
  <LinksUpToDate>false</LinksUpToDate>
  <CharactersWithSpaces>3588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2020-05-12T12:32:00Z</dcterms:created>
  <dc:creator>Sebastian, WAGNER</dc:creator>
  <cp:lastModifiedBy>漫步者</cp:lastModifiedBy>
  <dcterms:modified xsi:type="dcterms:W3CDTF">2025-02-07T12:46:15Z</dcterms:modified>
  <cp:revision>798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KSOProductBuildVer">
    <vt:lpwstr>2052-12.1.0.19770</vt:lpwstr>
  </property>
  <property fmtid="{D5CDD505-2E9C-101B-9397-08002B2CF9AE}" pid="10" name="ICV">
    <vt:lpwstr>CAFFA6700A1345549F011218CA37ED28_12</vt:lpwstr>
  </property>
  <property fmtid="{D5CDD505-2E9C-101B-9397-08002B2CF9AE}" pid="11" name="GrammarlyDocumentId">
    <vt:lpwstr>7b6f4d14fcc3576e24e11de7aa2ec5989492244b0ec4e6d6ccd5dbf810d0dd51</vt:lpwstr>
  </property>
  <property fmtid="{D5CDD505-2E9C-101B-9397-08002B2CF9AE}" pid="12" name="KSOTemplateDocerSaveRecord">
    <vt:lpwstr>eyJoZGlkIjoiYmViNjQ3Mzc2ZmZiNzdmYjJkMjNiYzBiYmNlOGQyZDUiLCJ1c2VySWQiOiIxMTIwOTc2NzA3In0=</vt:lpwstr>
  </property>
</Properties>
</file>